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2519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2519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2519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2519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2519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2519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2519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2519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2519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2519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2519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2519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2519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2519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2519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2519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2519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1D0975" w14:textId="77777777"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Operar y garantizar el buen funcionamiento de la prestación de los servicios de agua potable, alcantarillado sanitario y saneamiento, así como la detección, tratamiento y reusó de aguas residuales en la zona urbana y rural del municipio de León Guanajuato.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471E05">
      <w:pPr>
        <w:tabs>
          <w:tab w:val="left" w:leader="underscore" w:pos="9639"/>
        </w:tabs>
        <w:spacing w:after="0" w:line="240" w:lineRule="auto"/>
        <w:ind w:firstLine="567"/>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EB6926" w14:textId="77777777" w:rsidR="008D7A72" w:rsidRPr="008D7A72" w:rsidRDefault="008D7A72" w:rsidP="008D7A72">
      <w:pPr>
        <w:jc w:val="both"/>
        <w:rPr>
          <w:rFonts w:asciiTheme="majorHAnsi" w:hAnsiTheme="majorHAnsi" w:cstheme="majorHAnsi"/>
          <w:sz w:val="24"/>
          <w:szCs w:val="24"/>
        </w:rPr>
      </w:pPr>
      <w:r w:rsidRPr="008D7A72">
        <w:rPr>
          <w:rFonts w:asciiTheme="majorHAnsi" w:hAnsiTheme="majorHAnsi" w:cstheme="majorHAnsi"/>
          <w:sz w:val="24"/>
          <w:szCs w:val="24"/>
        </w:rPr>
        <w:t>Los Estados Financieros del sistema de Agua Potable y Alcantarillado de León (SAPAL), presentan en todos los aspectos importantes, la situación financiera sana y estable del organismo.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3BFCC42" w14:textId="1DD5145D"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Fue creado mediante decreto de reglamento publicado por el H. Ayuntamiento constitucional del Municipio de León, G</w:t>
      </w:r>
      <w:r>
        <w:rPr>
          <w:rFonts w:asciiTheme="majorHAnsi" w:hAnsiTheme="majorHAnsi" w:cstheme="majorHAnsi"/>
          <w:sz w:val="24"/>
          <w:szCs w:val="24"/>
        </w:rPr>
        <w:t>uanajua</w:t>
      </w:r>
      <w:r w:rsidRPr="008D7A72">
        <w:rPr>
          <w:rFonts w:asciiTheme="majorHAnsi" w:hAnsiTheme="majorHAnsi" w:cstheme="majorHAnsi"/>
          <w:sz w:val="24"/>
          <w:szCs w:val="24"/>
        </w:rPr>
        <w:t>to., el 9 de abril de 1985</w:t>
      </w:r>
    </w:p>
    <w:p w14:paraId="3A2353BF" w14:textId="19B4A9C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AA41CC" w14:textId="77777777"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Mediante publicación del 10 de diciembre de 2010 en el Periódico Oficial del Gobierno del Estado de Guanajuato mediante Decreto por el cual se reforman, adicionan y derogan diversos artículos del Reglamento de los Servicios de Agua Potable y Saneamiento para el Municipio de León Guanajuato.</w:t>
      </w:r>
    </w:p>
    <w:p w14:paraId="2EAB1B62" w14:textId="77777777"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Mediante publicación del 2 de junio de 2017 en el Periódico Oficial del Gobierno del Estado de Guanajuato mediante Decreto por el cual se reforman, adicionan y derogan diversos artículos del Reglamento de los Servicios de Agua Potable y Saneamiento para el Municipio de León Guanajuato.</w:t>
      </w:r>
    </w:p>
    <w:p w14:paraId="75464422" w14:textId="77777777"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El 23 de junio de 2020, se publicó en el periódico oficial del Estado de Guanajuato, el Reglamento de los Servicios de Agua Potable, Alcantarillado y Tratamiento para el Municipio de León, Guanajuato, estableciendo en el artículo cuarto transitorio, el inicio del proceso de fusión del SAPAL Rural con el SAPAL a partir de la fecha de publicación del Reglamento, con la finalidad de simplificar la operación, y administración del servicio público en la zona rural del Municipio, así como la nueva estructura orgánica.</w:t>
      </w:r>
    </w:p>
    <w:p w14:paraId="5360A337" w14:textId="77777777" w:rsidR="008D7A72" w:rsidRDefault="008D7A72" w:rsidP="000C3365">
      <w:pPr>
        <w:pStyle w:val="Ttulo2"/>
        <w:rPr>
          <w:rFonts w:asciiTheme="minorHAnsi" w:hAnsiTheme="minorHAnsi" w:cstheme="minorHAnsi"/>
          <w:b/>
          <w:color w:val="auto"/>
          <w:sz w:val="22"/>
        </w:rPr>
      </w:pPr>
      <w:bookmarkStart w:id="3" w:name="_Toc508279624"/>
    </w:p>
    <w:p w14:paraId="08136E94" w14:textId="47DF0F7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01034E1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3672AE1"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Operar y garantizar el buen funcionamiento de la prestación de los servicios de agua potable, alcantarillado sanitario y saneamiento, así como la detección, tratamiento y reúso de aguas residuales en la zona urbana y rural del municipio de León Guanajuato.</w:t>
      </w:r>
    </w:p>
    <w:p w14:paraId="2C110A08" w14:textId="04200CE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66195F2" w14:textId="77777777" w:rsidR="008D7A72" w:rsidRDefault="008D7A72" w:rsidP="00102089">
      <w:pPr>
        <w:ind w:firstLine="567"/>
        <w:jc w:val="both"/>
      </w:pPr>
      <w:r w:rsidRPr="008D7A72">
        <w:rPr>
          <w:rFonts w:asciiTheme="majorHAnsi" w:hAnsiTheme="majorHAnsi" w:cstheme="majorHAnsi"/>
          <w:sz w:val="24"/>
          <w:szCs w:val="24"/>
        </w:rPr>
        <w:t>Suministro de agua potable, recolectar las aguas residuales y su saneamiento en la zona urbana del municipio de León, Guanajuato</w:t>
      </w:r>
      <w:r w:rsidRPr="006E47C8">
        <w:t>.</w:t>
      </w:r>
    </w:p>
    <w:p w14:paraId="2D21CE61" w14:textId="76DC99A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3F80BC4" w14:textId="0B738AA4"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 xml:space="preserve">Ejercicio </w:t>
      </w:r>
      <w:r>
        <w:rPr>
          <w:rFonts w:asciiTheme="majorHAnsi" w:hAnsiTheme="majorHAnsi" w:cstheme="majorHAnsi"/>
          <w:sz w:val="24"/>
          <w:szCs w:val="24"/>
        </w:rPr>
        <w:t>e</w:t>
      </w:r>
      <w:r w:rsidRPr="008D7A72">
        <w:rPr>
          <w:rFonts w:asciiTheme="majorHAnsi" w:hAnsiTheme="majorHAnsi" w:cstheme="majorHAnsi"/>
          <w:sz w:val="24"/>
          <w:szCs w:val="24"/>
        </w:rPr>
        <w:t>nero</w:t>
      </w:r>
      <w:r>
        <w:rPr>
          <w:rFonts w:asciiTheme="majorHAnsi" w:hAnsiTheme="majorHAnsi" w:cstheme="majorHAnsi"/>
          <w:sz w:val="24"/>
          <w:szCs w:val="24"/>
        </w:rPr>
        <w:t xml:space="preserve"> a d</w:t>
      </w:r>
      <w:r w:rsidRPr="008D7A72">
        <w:rPr>
          <w:rFonts w:asciiTheme="majorHAnsi" w:hAnsiTheme="majorHAnsi" w:cstheme="majorHAnsi"/>
          <w:sz w:val="24"/>
          <w:szCs w:val="24"/>
        </w:rPr>
        <w:t>iciembre de 202</w:t>
      </w:r>
      <w:r w:rsidR="00A046B3">
        <w:rPr>
          <w:rFonts w:asciiTheme="majorHAnsi" w:hAnsiTheme="majorHAnsi" w:cstheme="majorHAnsi"/>
          <w:sz w:val="24"/>
          <w:szCs w:val="24"/>
        </w:rPr>
        <w:t>3</w:t>
      </w:r>
    </w:p>
    <w:p w14:paraId="6B13C93F" w14:textId="517AB62B"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2FD979B7"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Paramunicipal, como Organismo público descentralizado de la administración pública municipal de León, Guanajuato.</w:t>
      </w:r>
    </w:p>
    <w:p w14:paraId="15948964" w14:textId="56098E6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w:t>
      </w:r>
    </w:p>
    <w:p w14:paraId="5F9A6F5C" w14:textId="42AF1821" w:rsidR="008D7A72" w:rsidRPr="008D7A72" w:rsidRDefault="008D7A72" w:rsidP="00102089">
      <w:pPr>
        <w:tabs>
          <w:tab w:val="left" w:leader="underscore" w:pos="9639"/>
        </w:tabs>
        <w:spacing w:after="0" w:line="240" w:lineRule="auto"/>
        <w:ind w:firstLine="567"/>
        <w:jc w:val="both"/>
        <w:rPr>
          <w:rFonts w:asciiTheme="majorHAnsi" w:hAnsiTheme="majorHAnsi" w:cstheme="majorHAnsi"/>
          <w:sz w:val="24"/>
          <w:szCs w:val="24"/>
        </w:rPr>
      </w:pPr>
      <w:r w:rsidRPr="008D7A72">
        <w:rPr>
          <w:rFonts w:asciiTheme="majorHAnsi" w:hAnsiTheme="majorHAnsi" w:cstheme="majorHAnsi"/>
          <w:sz w:val="24"/>
          <w:szCs w:val="24"/>
        </w:rPr>
        <w:t>Registrado ante la Secretaría de Hacienda y Crédito Público mediante RFC SAP8203102M4, como Persona moral con fines no lucrativos del Título III de la Ley del Impuesto Sobre la Renta. Conforme al cual se considera como remanente sujeto al pago de ISR, el importe de las erogaciones que efectúa y no reúnen los requisitos fiscales para su deducibilidad. En materia del Impuesto al Valor Agregado (IVA) los actos del Organismo se encuentran gravados conforme a lo establecido en los artículos 1 y 2A inciso h de la Ley del IVA.</w:t>
      </w:r>
    </w:p>
    <w:p w14:paraId="215C158A" w14:textId="77777777" w:rsidR="008D7A72" w:rsidRDefault="008D7A72" w:rsidP="00CB41C4">
      <w:pPr>
        <w:tabs>
          <w:tab w:val="left" w:leader="underscore" w:pos="9639"/>
        </w:tabs>
        <w:spacing w:after="0" w:line="240" w:lineRule="auto"/>
        <w:jc w:val="both"/>
        <w:rPr>
          <w:rFonts w:cs="Calibri"/>
          <w:b/>
        </w:rPr>
      </w:pPr>
    </w:p>
    <w:p w14:paraId="6EB77A6D" w14:textId="47A85F48"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78E6DE1" w14:textId="072B1776" w:rsidR="008D7A72" w:rsidRPr="008D7A72" w:rsidRDefault="00102089" w:rsidP="00102089">
      <w:pPr>
        <w:ind w:firstLine="567"/>
        <w:jc w:val="both"/>
        <w:rPr>
          <w:rFonts w:asciiTheme="majorHAnsi" w:hAnsiTheme="majorHAnsi" w:cstheme="majorHAnsi"/>
          <w:sz w:val="24"/>
          <w:szCs w:val="24"/>
        </w:rPr>
      </w:pPr>
      <w:r>
        <w:rPr>
          <w:rFonts w:asciiTheme="majorHAnsi" w:hAnsiTheme="majorHAnsi" w:cstheme="majorHAnsi"/>
          <w:sz w:val="24"/>
          <w:szCs w:val="24"/>
        </w:rPr>
        <w:t>P</w:t>
      </w:r>
      <w:r w:rsidR="008D7A72" w:rsidRPr="008D7A72">
        <w:rPr>
          <w:rFonts w:asciiTheme="majorHAnsi" w:hAnsiTheme="majorHAnsi" w:cstheme="majorHAnsi"/>
          <w:sz w:val="24"/>
          <w:szCs w:val="24"/>
        </w:rPr>
        <w:t xml:space="preserve">ara el estudio, planeación, programación, ejecución, control y despacho de los asuntos de su competencia, SAPAL cuenta con un Consejo Directivo, un </w:t>
      </w:r>
      <w:proofErr w:type="gramStart"/>
      <w:r w:rsidR="008D7A72" w:rsidRPr="008D7A72">
        <w:rPr>
          <w:rFonts w:asciiTheme="majorHAnsi" w:hAnsiTheme="majorHAnsi" w:cstheme="majorHAnsi"/>
          <w:sz w:val="24"/>
          <w:szCs w:val="24"/>
        </w:rPr>
        <w:t>Director General</w:t>
      </w:r>
      <w:proofErr w:type="gramEnd"/>
      <w:r w:rsidR="008D7A72" w:rsidRPr="008D7A72">
        <w:rPr>
          <w:rFonts w:asciiTheme="majorHAnsi" w:hAnsiTheme="majorHAnsi" w:cstheme="majorHAnsi"/>
          <w:sz w:val="24"/>
          <w:szCs w:val="24"/>
        </w:rPr>
        <w:t xml:space="preserve"> y las Unidades Administrativas necesarias para el cumplimiento del objeto, funciones y atribuciones.</w:t>
      </w:r>
    </w:p>
    <w:p w14:paraId="2F3CB8E8" w14:textId="6C82D8C3" w:rsidR="008D7A72" w:rsidRDefault="008D7A72" w:rsidP="00CB41C4">
      <w:pPr>
        <w:tabs>
          <w:tab w:val="left" w:leader="underscore" w:pos="9639"/>
        </w:tabs>
        <w:spacing w:after="0" w:line="240" w:lineRule="auto"/>
        <w:jc w:val="both"/>
        <w:rPr>
          <w:rFonts w:cs="Calibri"/>
        </w:rPr>
      </w:pPr>
      <w:r>
        <w:rPr>
          <w:noProof/>
        </w:rPr>
        <w:lastRenderedPageBreak/>
        <w:drawing>
          <wp:inline distT="0" distB="0" distL="0" distR="0" wp14:anchorId="72C2A1FB" wp14:editId="2FCCFED0">
            <wp:extent cx="5972810" cy="3855720"/>
            <wp:effectExtent l="0" t="0" r="8890" b="0"/>
            <wp:docPr id="2" name="Imagen 1">
              <a:extLst xmlns:a="http://schemas.openxmlformats.org/drawingml/2006/main">
                <a:ext uri="{FF2B5EF4-FFF2-40B4-BE49-F238E27FC236}">
                  <a16:creationId xmlns:a16="http://schemas.microsoft.com/office/drawing/2014/main" id="{84F03A7F-7577-4A95-A3F6-4B6EBC8B8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84F03A7F-7577-4A95-A3F6-4B6EBC8B8B02}"/>
                        </a:ext>
                      </a:extLst>
                    </pic:cNvPr>
                    <pic:cNvPicPr>
                      <a:picLocks noChangeAspect="1"/>
                    </pic:cNvPicPr>
                  </pic:nvPicPr>
                  <pic:blipFill rotWithShape="1">
                    <a:blip r:embed="rId12"/>
                    <a:srcRect l="2989" t="1683" r="62038" b="29621"/>
                    <a:stretch/>
                  </pic:blipFill>
                  <pic:spPr>
                    <a:xfrm>
                      <a:off x="0" y="0"/>
                      <a:ext cx="5972810" cy="3855720"/>
                    </a:xfrm>
                    <a:prstGeom prst="rect">
                      <a:avLst/>
                    </a:prstGeom>
                  </pic:spPr>
                </pic:pic>
              </a:graphicData>
            </a:graphic>
          </wp:inline>
        </w:drawing>
      </w:r>
    </w:p>
    <w:p w14:paraId="13E82C3D" w14:textId="2F62C985" w:rsidR="00CB41C4" w:rsidRDefault="00CB41C4"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542905CE" w:rsidR="00CB41C4" w:rsidRDefault="00CB41C4" w:rsidP="00CB41C4">
      <w:pPr>
        <w:tabs>
          <w:tab w:val="left" w:leader="underscore" w:pos="9639"/>
        </w:tabs>
        <w:spacing w:after="0" w:line="240" w:lineRule="auto"/>
        <w:jc w:val="both"/>
        <w:rPr>
          <w:rFonts w:cs="Calibri"/>
        </w:rPr>
      </w:pPr>
    </w:p>
    <w:tbl>
      <w:tblPr>
        <w:tblW w:w="8868" w:type="dxa"/>
        <w:tblInd w:w="55" w:type="dxa"/>
        <w:tblCellMar>
          <w:left w:w="70" w:type="dxa"/>
          <w:right w:w="70" w:type="dxa"/>
        </w:tblCellMar>
        <w:tblLook w:val="04A0" w:firstRow="1" w:lastRow="0" w:firstColumn="1" w:lastColumn="0" w:noHBand="0" w:noVBand="1"/>
      </w:tblPr>
      <w:tblGrid>
        <w:gridCol w:w="5822"/>
        <w:gridCol w:w="3046"/>
      </w:tblGrid>
      <w:tr w:rsidR="008D7A72" w:rsidRPr="008D7A72" w14:paraId="066B02AF" w14:textId="77777777" w:rsidTr="00607CC0">
        <w:trPr>
          <w:trHeight w:val="300"/>
        </w:trPr>
        <w:tc>
          <w:tcPr>
            <w:tcW w:w="582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43F9B69" w14:textId="77777777" w:rsidR="008D7A72" w:rsidRPr="008D7A72" w:rsidRDefault="008D7A72" w:rsidP="00607CC0">
            <w:pPr>
              <w:spacing w:after="0" w:line="240" w:lineRule="auto"/>
              <w:jc w:val="center"/>
              <w:rPr>
                <w:rFonts w:asciiTheme="majorHAnsi" w:eastAsia="Times New Roman" w:hAnsiTheme="majorHAnsi" w:cstheme="majorHAnsi"/>
                <w:b/>
                <w:bCs/>
                <w:color w:val="000000"/>
                <w:sz w:val="18"/>
                <w:szCs w:val="18"/>
                <w:lang w:eastAsia="es-MX"/>
              </w:rPr>
            </w:pPr>
            <w:r w:rsidRPr="008D7A72">
              <w:rPr>
                <w:rFonts w:asciiTheme="majorHAnsi" w:eastAsia="Times New Roman" w:hAnsiTheme="majorHAnsi" w:cstheme="majorHAnsi"/>
                <w:b/>
                <w:bCs/>
                <w:color w:val="000000"/>
                <w:sz w:val="18"/>
                <w:szCs w:val="18"/>
                <w:lang w:eastAsia="es-MX"/>
              </w:rPr>
              <w:t>NOMBRE DEL FIDEICOMISO</w:t>
            </w:r>
          </w:p>
        </w:tc>
        <w:tc>
          <w:tcPr>
            <w:tcW w:w="3046" w:type="dxa"/>
            <w:tcBorders>
              <w:top w:val="single" w:sz="4" w:space="0" w:color="auto"/>
              <w:left w:val="nil"/>
              <w:bottom w:val="single" w:sz="4" w:space="0" w:color="auto"/>
              <w:right w:val="single" w:sz="4" w:space="0" w:color="auto"/>
            </w:tcBorders>
            <w:shd w:val="clear" w:color="000000" w:fill="FFCC99"/>
            <w:noWrap/>
            <w:vAlign w:val="center"/>
            <w:hideMark/>
          </w:tcPr>
          <w:p w14:paraId="7739FB4F" w14:textId="77777777" w:rsidR="008D7A72" w:rsidRPr="008D7A72" w:rsidRDefault="008D7A72" w:rsidP="00607CC0">
            <w:pPr>
              <w:spacing w:after="0" w:line="240" w:lineRule="auto"/>
              <w:jc w:val="center"/>
              <w:rPr>
                <w:rFonts w:asciiTheme="majorHAnsi" w:eastAsia="Times New Roman" w:hAnsiTheme="majorHAnsi" w:cstheme="majorHAnsi"/>
                <w:b/>
                <w:bCs/>
                <w:color w:val="000000"/>
                <w:sz w:val="18"/>
                <w:szCs w:val="18"/>
                <w:lang w:eastAsia="es-MX"/>
              </w:rPr>
            </w:pPr>
            <w:r w:rsidRPr="008D7A72">
              <w:rPr>
                <w:rFonts w:asciiTheme="majorHAnsi" w:eastAsia="Times New Roman" w:hAnsiTheme="majorHAnsi" w:cstheme="majorHAnsi"/>
                <w:b/>
                <w:bCs/>
                <w:color w:val="000000"/>
                <w:sz w:val="18"/>
                <w:szCs w:val="18"/>
                <w:lang w:eastAsia="es-MX"/>
              </w:rPr>
              <w:t>OBJETO DEL FIDEICOMISO</w:t>
            </w:r>
          </w:p>
        </w:tc>
      </w:tr>
      <w:tr w:rsidR="008D7A72" w:rsidRPr="008D7A72" w14:paraId="36745865" w14:textId="77777777" w:rsidTr="008D7A72">
        <w:trPr>
          <w:trHeight w:val="276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5252A626" w14:textId="77777777" w:rsidR="008D7A72" w:rsidRPr="008D7A72" w:rsidRDefault="008D7A72" w:rsidP="008D7A72">
            <w:pPr>
              <w:spacing w:after="0" w:line="240" w:lineRule="auto"/>
              <w:jc w:val="center"/>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FIDEICOMISO 1960 PLANTA DE TRATAMIENTO DE AGUAS RESIDUALES DE LEON</w:t>
            </w:r>
          </w:p>
        </w:tc>
        <w:tc>
          <w:tcPr>
            <w:tcW w:w="3046" w:type="dxa"/>
            <w:tcBorders>
              <w:top w:val="nil"/>
              <w:left w:val="nil"/>
              <w:bottom w:val="single" w:sz="4" w:space="0" w:color="auto"/>
              <w:right w:val="single" w:sz="4" w:space="0" w:color="auto"/>
            </w:tcBorders>
            <w:shd w:val="clear" w:color="auto" w:fill="auto"/>
            <w:hideMark/>
          </w:tcPr>
          <w:p w14:paraId="47BCF0F2"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 xml:space="preserve">CONTITUIR EL PATRIMONIO </w:t>
            </w:r>
            <w:proofErr w:type="gramStart"/>
            <w:r w:rsidRPr="008D7A72">
              <w:rPr>
                <w:rFonts w:asciiTheme="majorHAnsi" w:eastAsia="Times New Roman" w:hAnsiTheme="majorHAnsi" w:cstheme="majorHAnsi"/>
                <w:color w:val="000000"/>
                <w:sz w:val="18"/>
                <w:szCs w:val="18"/>
                <w:lang w:eastAsia="es-MX"/>
              </w:rPr>
              <w:t>DEL MISMO</w:t>
            </w:r>
            <w:proofErr w:type="gramEnd"/>
            <w:r w:rsidRPr="008D7A72">
              <w:rPr>
                <w:rFonts w:asciiTheme="majorHAnsi" w:eastAsia="Times New Roman" w:hAnsiTheme="majorHAnsi" w:cstheme="majorHAnsi"/>
                <w:color w:val="000000"/>
                <w:sz w:val="18"/>
                <w:szCs w:val="18"/>
                <w:lang w:eastAsia="es-MX"/>
              </w:rPr>
              <w:t xml:space="preserve"> CON APORTACIÓN INICIAL Y LA CANTIDAD EQUIVALENTE A 1 MES DE AMORTIZACIÓN DE CAPITAL DE CRÉDITO MAS 1 MES DE INTERESES ORDINARIOS DEL MISMO PARA LA CONSTITUCIÓN DE UN FONDO REVOLVENTE DE PROVISIÓN, QUE SERA DESTINADO PARA CUBRIR MENSUALMENTE A BANOBRAS EL IMPORTE DE 1 DE AMORTIZACIÓN DE CAPITAL, MAS 1 MES DE INTERESES ORDINARIOS DEL CREDITO DE LA 1RA FACE</w:t>
            </w:r>
          </w:p>
        </w:tc>
      </w:tr>
      <w:tr w:rsidR="008D7A72" w:rsidRPr="008D7A72" w14:paraId="3999052A" w14:textId="77777777" w:rsidTr="008D7A72">
        <w:trPr>
          <w:trHeight w:val="919"/>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286FE46C" w14:textId="77777777" w:rsidR="008D7A72" w:rsidRPr="008D7A72" w:rsidRDefault="008D7A72" w:rsidP="008D7A72">
            <w:pPr>
              <w:spacing w:after="0" w:line="240" w:lineRule="auto"/>
              <w:jc w:val="center"/>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FIDEICOMISO 3870-06-34 FONDO PRIMA DE ANTIGÜEDAD, FONDO</w:t>
            </w:r>
          </w:p>
        </w:tc>
        <w:tc>
          <w:tcPr>
            <w:tcW w:w="3046" w:type="dxa"/>
            <w:tcBorders>
              <w:top w:val="nil"/>
              <w:left w:val="nil"/>
              <w:bottom w:val="single" w:sz="4" w:space="0" w:color="auto"/>
              <w:right w:val="single" w:sz="4" w:space="0" w:color="auto"/>
            </w:tcBorders>
            <w:shd w:val="clear" w:color="auto" w:fill="auto"/>
            <w:hideMark/>
          </w:tcPr>
          <w:p w14:paraId="679AD2E2"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FONDO DE PENSIONES, JUBILACIONES Y PRIMA DE ANTIGÜEDAD CON BANCO DEL BAJIO</w:t>
            </w:r>
          </w:p>
        </w:tc>
      </w:tr>
      <w:tr w:rsidR="008D7A72" w:rsidRPr="008D7A72" w14:paraId="54C594A6" w14:textId="77777777" w:rsidTr="008D7A72">
        <w:trPr>
          <w:trHeight w:val="2483"/>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3E67E6A9" w14:textId="77777777" w:rsidR="008D7A72" w:rsidRPr="008D7A72" w:rsidRDefault="008D7A72" w:rsidP="008D7A72">
            <w:pPr>
              <w:spacing w:after="0" w:line="240" w:lineRule="auto"/>
              <w:jc w:val="center"/>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lastRenderedPageBreak/>
              <w:t>FIDEICOMISO CONTRATO 745175</w:t>
            </w:r>
          </w:p>
        </w:tc>
        <w:tc>
          <w:tcPr>
            <w:tcW w:w="3046" w:type="dxa"/>
            <w:tcBorders>
              <w:top w:val="nil"/>
              <w:left w:val="nil"/>
              <w:bottom w:val="single" w:sz="4" w:space="0" w:color="auto"/>
              <w:right w:val="single" w:sz="4" w:space="0" w:color="auto"/>
            </w:tcBorders>
            <w:shd w:val="clear" w:color="auto" w:fill="auto"/>
            <w:hideMark/>
          </w:tcPr>
          <w:p w14:paraId="3308C965"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QUE LA FIDUCIARIA RECIBA Y CONSERVE EN PROPIEDAD LA APORTACION INICIA SAPAL Y LA APORTACION INICIAL CEAG.</w:t>
            </w:r>
          </w:p>
          <w:p w14:paraId="73230606"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p>
          <w:p w14:paraId="21AB0852"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QUE LA FIDUCIARIA RECIBA LAS APORTACIONES SAPAL Y APORTACIONES CEAG Y LAS TRANSFIERA AL FIDEICOMISO DE ADMINISTRACION EN LOS TERMINOS SEÑALADOS EN LA CLAUSULA SEPTIMA DE ESTE FIDEICOMISO Y EL RESTO QUE MARCA LA CLAUSULA QUINTA DEL CONTRATO DE FIDEICOMISO IRREVOCABLE DE ADMINISTRACION Y MEDIO DE PAGO</w:t>
            </w:r>
          </w:p>
          <w:p w14:paraId="396AFA3F"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p>
          <w:p w14:paraId="580F0F2A"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FIDEICOMISO CON BANCO BANORTE</w:t>
            </w:r>
          </w:p>
        </w:tc>
      </w:tr>
    </w:tbl>
    <w:p w14:paraId="44D09BCF" w14:textId="11F6243A" w:rsidR="008D7A72" w:rsidRDefault="008D7A72" w:rsidP="00CB41C4">
      <w:pPr>
        <w:tabs>
          <w:tab w:val="left" w:leader="underscore" w:pos="9639"/>
        </w:tabs>
        <w:spacing w:after="0" w:line="240" w:lineRule="auto"/>
        <w:jc w:val="both"/>
        <w:rPr>
          <w:rFonts w:cs="Calibri"/>
        </w:rPr>
      </w:pPr>
    </w:p>
    <w:p w14:paraId="2AD8783F" w14:textId="28C7B586" w:rsidR="008D7A72" w:rsidRDefault="008D7A72"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4633C27"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A partir del 1° de Enero de 2009 entró en vigor la Ley General de Contabilidad Gubernamental (LGCG) la cual tiene por objeto  regularizar la administración contable presupuestal de los organismos del sector público, homologando así la práctica en todo el país de los sujetos de esta Ley, para tal efecto SAPAL tiene la obligación de acatar los lineamientos emitidos en la Ley antes mencionada y sus documentos derivados emitidos durante 2009, a más tardar el 31 de diciembre de 2010, excepto por los documentos denominados "Marco Conceptual de Contabilidad Gubernamental" y "Postulados básicos de Contabilidad Gubernamental", de los cuales su adopción fue de carácter obligatorio a partir del 30 de abril de 2010; sin embargo, de conformidad al acuerdo de interpretación sobre las obligaciones establecidas en los artículos transitorios de la Ley General de Contabilidad Gubernamental, aprobado el 15 de diciembre de 2010 por el Consejo Nacional de Armonización Contable, dichas obligaciones se postergaron y a continuación se muestra un resumen del acuerdo antes mencionado.</w:t>
      </w:r>
    </w:p>
    <w:p w14:paraId="7E07880B" w14:textId="77777777" w:rsidR="008D7A72" w:rsidRPr="008D7A72" w:rsidRDefault="008D7A72" w:rsidP="00102089">
      <w:pPr>
        <w:spacing w:after="0" w:line="240" w:lineRule="auto"/>
        <w:ind w:firstLine="567"/>
        <w:jc w:val="both"/>
        <w:rPr>
          <w:rFonts w:asciiTheme="majorHAnsi" w:hAnsiTheme="majorHAnsi" w:cstheme="majorHAnsi"/>
          <w:sz w:val="24"/>
          <w:szCs w:val="24"/>
        </w:rPr>
      </w:pPr>
      <w:r w:rsidRPr="008D7A72">
        <w:rPr>
          <w:rFonts w:asciiTheme="majorHAnsi" w:hAnsiTheme="majorHAnsi" w:cstheme="majorHAnsi"/>
          <w:sz w:val="24"/>
          <w:szCs w:val="24"/>
        </w:rPr>
        <w:t>A la fecha ya se cuenta con el manual de contabilidad de la entidad donde se muestran las bases de la preparación de los estados financieros.</w:t>
      </w:r>
    </w:p>
    <w:p w14:paraId="01FB1313" w14:textId="77777777" w:rsidR="008D7A72" w:rsidRPr="008D7A72" w:rsidRDefault="008D7A72" w:rsidP="008D7A72">
      <w:pPr>
        <w:spacing w:after="0" w:line="240" w:lineRule="auto"/>
        <w:jc w:val="both"/>
        <w:rPr>
          <w:rFonts w:asciiTheme="majorHAnsi" w:hAnsiTheme="majorHAnsi" w:cstheme="majorHAnsi"/>
          <w:sz w:val="24"/>
          <w:szCs w:val="24"/>
        </w:rPr>
      </w:pPr>
    </w:p>
    <w:p w14:paraId="181763CC"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 xml:space="preserve">A partir del 1° de enero de 2012 realizar registros contables con base acumulativa y en apego al marco conceptual, postulados básicos, normas y metodologías que establezcan los momentos contables, clasificadores y manuales de contabilidad gubernamental armonizado y de acuerdo con las respectivas matrices de conversión con las características señaladas en la Ley General de Contabilidad Gubernamental. Así mismo a partir de la fecha señalada deberán emitir información contable, </w:t>
      </w:r>
      <w:r w:rsidRPr="008D7A72">
        <w:rPr>
          <w:rFonts w:asciiTheme="majorHAnsi" w:hAnsiTheme="majorHAnsi" w:cstheme="majorHAnsi"/>
          <w:sz w:val="24"/>
          <w:szCs w:val="24"/>
        </w:rPr>
        <w:lastRenderedPageBreak/>
        <w:t>presupuestaria y programática sobre la base técnica prevista en los documentos técnicos contables referidos.</w:t>
      </w:r>
    </w:p>
    <w:p w14:paraId="545C3CD0"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 xml:space="preserve">A la fecha se aplicó el acuerdo publicado el pasado 27 de septiembre de 2018 donde se reforman y adicionan las Normas y Metodología para la Determinación de los Momentos Contables de los Ingresos.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2820065C" w14:textId="7374A940" w:rsidR="00471E05" w:rsidRPr="00471E05" w:rsidRDefault="00471E05" w:rsidP="00471E05">
      <w:pPr>
        <w:pStyle w:val="Prrafodelista"/>
        <w:numPr>
          <w:ilvl w:val="0"/>
          <w:numId w:val="2"/>
        </w:numPr>
        <w:jc w:val="both"/>
        <w:rPr>
          <w:rFonts w:asciiTheme="majorHAnsi" w:hAnsiTheme="majorHAnsi" w:cstheme="majorHAnsi"/>
          <w:sz w:val="24"/>
          <w:szCs w:val="24"/>
        </w:rPr>
      </w:pPr>
      <w:r w:rsidRPr="00471E05">
        <w:rPr>
          <w:rFonts w:asciiTheme="majorHAnsi" w:hAnsiTheme="majorHAnsi" w:cstheme="majorHAnsi"/>
          <w:sz w:val="24"/>
          <w:szCs w:val="24"/>
        </w:rPr>
        <w:t>Norma específica de información financiera gubernamental del sector público - NEIFGSP 015 Registro contable del activo fijo.</w:t>
      </w:r>
    </w:p>
    <w:p w14:paraId="6FA0C498" w14:textId="77777777" w:rsidR="00471E05" w:rsidRPr="00471E05" w:rsidRDefault="00471E05" w:rsidP="00471E05">
      <w:pPr>
        <w:pStyle w:val="Prrafodelista"/>
        <w:numPr>
          <w:ilvl w:val="0"/>
          <w:numId w:val="2"/>
        </w:numPr>
        <w:jc w:val="both"/>
        <w:rPr>
          <w:rFonts w:asciiTheme="majorHAnsi" w:hAnsiTheme="majorHAnsi" w:cstheme="majorHAnsi"/>
          <w:sz w:val="24"/>
          <w:szCs w:val="24"/>
        </w:rPr>
      </w:pPr>
      <w:r w:rsidRPr="00471E05">
        <w:rPr>
          <w:rFonts w:asciiTheme="majorHAnsi" w:hAnsiTheme="majorHAnsi" w:cstheme="majorHAnsi"/>
          <w:sz w:val="24"/>
          <w:szCs w:val="24"/>
        </w:rPr>
        <w:t>Normas información financiera gubernamental - NIFG 012 Inventarios y NIFG 017 Bienes muebles e inmuebles.</w:t>
      </w:r>
    </w:p>
    <w:p w14:paraId="05A2FEDF" w14:textId="77777777" w:rsidR="00471E05" w:rsidRPr="00471E05" w:rsidRDefault="00471E05" w:rsidP="00471E05">
      <w:pPr>
        <w:pStyle w:val="Prrafodelista"/>
        <w:numPr>
          <w:ilvl w:val="0"/>
          <w:numId w:val="2"/>
        </w:numPr>
        <w:jc w:val="both"/>
        <w:rPr>
          <w:rFonts w:asciiTheme="majorHAnsi" w:hAnsiTheme="majorHAnsi" w:cstheme="majorHAnsi"/>
          <w:sz w:val="24"/>
          <w:szCs w:val="24"/>
        </w:rPr>
      </w:pPr>
      <w:r w:rsidRPr="00471E05">
        <w:rPr>
          <w:rFonts w:asciiTheme="majorHAnsi" w:hAnsiTheme="majorHAnsi" w:cstheme="majorHAnsi"/>
          <w:sz w:val="24"/>
          <w:szCs w:val="24"/>
        </w:rPr>
        <w:t>Norma específica de información financiera gubernamental - NEIFG004 Valor de uso, depreciación-revaluación.</w:t>
      </w:r>
    </w:p>
    <w:p w14:paraId="0B1DBAE3" w14:textId="77777777" w:rsidR="00471E05" w:rsidRDefault="00471E05" w:rsidP="00CB41C4">
      <w:pPr>
        <w:tabs>
          <w:tab w:val="left" w:leader="underscore" w:pos="9639"/>
        </w:tabs>
        <w:spacing w:after="0" w:line="240" w:lineRule="auto"/>
        <w:jc w:val="both"/>
        <w:rPr>
          <w:rFonts w:cs="Calibri"/>
          <w:b/>
        </w:rPr>
      </w:pPr>
    </w:p>
    <w:p w14:paraId="7ED1C1ED" w14:textId="0AA8DC7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F029DCD" w14:textId="77777777" w:rsidR="00471E05" w:rsidRPr="00471E05" w:rsidRDefault="00471E05" w:rsidP="00102089">
      <w:pPr>
        <w:ind w:firstLine="567"/>
        <w:jc w:val="both"/>
        <w:rPr>
          <w:rFonts w:asciiTheme="majorHAnsi" w:hAnsiTheme="majorHAnsi" w:cstheme="majorHAnsi"/>
          <w:sz w:val="24"/>
          <w:szCs w:val="24"/>
        </w:rPr>
      </w:pPr>
      <w:r w:rsidRPr="00471E05">
        <w:rPr>
          <w:rFonts w:asciiTheme="majorHAnsi" w:hAnsiTheme="majorHAnsi" w:cstheme="majorHAnsi"/>
          <w:sz w:val="24"/>
          <w:szCs w:val="24"/>
        </w:rPr>
        <w:t>El Organismo cumple con los elementos fundamentales que configuran el Sistema Gubernamental -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E98786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6871DF6" w14:textId="77777777" w:rsidR="00471E05" w:rsidRPr="00471E05" w:rsidRDefault="00471E05" w:rsidP="00471E05">
      <w:pPr>
        <w:ind w:left="709"/>
        <w:jc w:val="both"/>
        <w:rPr>
          <w:rFonts w:asciiTheme="majorHAnsi" w:hAnsiTheme="majorHAnsi" w:cstheme="majorHAnsi"/>
          <w:sz w:val="24"/>
          <w:szCs w:val="24"/>
        </w:rPr>
      </w:pPr>
      <w:r w:rsidRPr="00471E05">
        <w:rPr>
          <w:rFonts w:asciiTheme="majorHAnsi" w:hAnsiTheme="majorHAnsi" w:cstheme="majorHAnsi"/>
          <w:sz w:val="24"/>
          <w:szCs w:val="24"/>
        </w:rPr>
        <w:t>Normas de información financiera (</w:t>
      </w:r>
      <w:proofErr w:type="spellStart"/>
      <w:r w:rsidRPr="00471E05">
        <w:rPr>
          <w:rFonts w:asciiTheme="majorHAnsi" w:hAnsiTheme="majorHAnsi" w:cstheme="majorHAnsi"/>
          <w:sz w:val="24"/>
          <w:szCs w:val="24"/>
        </w:rPr>
        <w:t>NIF's</w:t>
      </w:r>
      <w:proofErr w:type="spellEnd"/>
      <w:r w:rsidRPr="00471E05">
        <w:rPr>
          <w:rFonts w:asciiTheme="majorHAnsi" w:hAnsiTheme="majorHAnsi" w:cstheme="majorHAnsi"/>
          <w:sz w:val="24"/>
          <w:szCs w:val="24"/>
        </w:rPr>
        <w:t>).</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021761A8"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6AFB42" w14:textId="77777777" w:rsidR="00471E05" w:rsidRPr="00471E05" w:rsidRDefault="00471E05" w:rsidP="00102089">
      <w:pPr>
        <w:ind w:firstLine="567"/>
        <w:jc w:val="both"/>
        <w:rPr>
          <w:rFonts w:asciiTheme="majorHAnsi" w:hAnsiTheme="majorHAnsi" w:cstheme="majorHAnsi"/>
          <w:sz w:val="24"/>
          <w:szCs w:val="24"/>
        </w:rPr>
      </w:pPr>
      <w:r w:rsidRPr="00471E05">
        <w:rPr>
          <w:rFonts w:asciiTheme="majorHAnsi" w:hAnsiTheme="majorHAnsi" w:cstheme="majorHAnsi"/>
          <w:sz w:val="24"/>
          <w:szCs w:val="24"/>
        </w:rPr>
        <w:t>El Organismo considera el ingreso devengado cuando existe jurídicamente el derecho de cobro con la emisión de la facturación y los gastos devengados cuando se reciben de conformidad los bienes, servicios y obra pública con el soporte documental correspondiente.</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138EAB0" w14:textId="77777777" w:rsidR="00471E05" w:rsidRPr="00471E05" w:rsidRDefault="00471E05" w:rsidP="00471E05">
      <w:pPr>
        <w:ind w:firstLine="567"/>
        <w:jc w:val="both"/>
        <w:rPr>
          <w:rFonts w:asciiTheme="majorHAnsi" w:hAnsiTheme="majorHAnsi" w:cstheme="majorHAnsi"/>
          <w:sz w:val="24"/>
          <w:szCs w:val="24"/>
        </w:rPr>
      </w:pPr>
      <w:r w:rsidRPr="00471E05">
        <w:rPr>
          <w:rFonts w:asciiTheme="majorHAnsi" w:hAnsiTheme="majorHAnsi" w:cstheme="majorHAnsi"/>
          <w:sz w:val="24"/>
          <w:szCs w:val="24"/>
        </w:rPr>
        <w:t>Los estados financieros cumplen con las Normas de Información Financiera (</w:t>
      </w:r>
      <w:proofErr w:type="spellStart"/>
      <w:r w:rsidRPr="00471E05">
        <w:rPr>
          <w:rFonts w:asciiTheme="majorHAnsi" w:hAnsiTheme="majorHAnsi" w:cstheme="majorHAnsi"/>
          <w:sz w:val="24"/>
          <w:szCs w:val="24"/>
        </w:rPr>
        <w:t>NIF's</w:t>
      </w:r>
      <w:proofErr w:type="spellEnd"/>
      <w:r w:rsidRPr="00471E05">
        <w:rPr>
          <w:rFonts w:asciiTheme="majorHAnsi" w:hAnsiTheme="majorHAnsi" w:cstheme="majorHAnsi"/>
          <w:sz w:val="24"/>
          <w:szCs w:val="24"/>
        </w:rPr>
        <w:t>), Normas Específicas de Información Financiera Gubernamental del Sector Público (NEIFGSP), Normas Información Financiera Gubernamental (NIFG) y Normas Específica de Información Financiera Gubernamental (NEIFG), aplicables. Su preparación requiere que la administración de SAPAL, efectúe ciertas estimaciones y utilice determinados supuestos para valuar algunas de las partidas de los estados financieros y para efectuar las revelaciones que se requieren en los mismos. Sin embargo, los resultados reales pueden diferir de dichas estimaciones. La administración de SAPAL aplicando el juicio profesional considera que las estimaciones y supuestos utilizados fueron los adecuados en las circunstancias. Las principales políticas contables seguidas son las siguientes:</w:t>
      </w:r>
    </w:p>
    <w:p w14:paraId="6F903F38" w14:textId="7777777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Reconocimiento de los efectos de la inflación: La inflación acumulada de los 3 ejercicios anuales al 31 de diciembre de 2021 es de 13.34%; por lo tanto, el entorno económico califica como entorno económico no inflacionario, entendiéndose por este, cuando la inflación acumulada de los 3 ejercicios anuales anteriores es menor al 26%; en este caso, no se deben reconocer los efectos de la inflación en los Estados financieros. Los porcentajes de inflación por los años que terminaron al 31 de diciembre de 2021, 2020 y 2019, fueron 7.36%, 3.15% y 2.83% respectivamente.</w:t>
      </w:r>
    </w:p>
    <w:p w14:paraId="0BD64D05" w14:textId="7777777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 xml:space="preserve">A partir del 1° de </w:t>
      </w:r>
      <w:proofErr w:type="gramStart"/>
      <w:r w:rsidRPr="00471E05">
        <w:rPr>
          <w:rFonts w:asciiTheme="majorHAnsi" w:hAnsiTheme="majorHAnsi" w:cstheme="majorHAnsi"/>
          <w:sz w:val="24"/>
          <w:szCs w:val="24"/>
        </w:rPr>
        <w:t>Enero</w:t>
      </w:r>
      <w:proofErr w:type="gramEnd"/>
      <w:r w:rsidRPr="00471E05">
        <w:rPr>
          <w:rFonts w:asciiTheme="majorHAnsi" w:hAnsiTheme="majorHAnsi" w:cstheme="majorHAnsi"/>
          <w:sz w:val="24"/>
          <w:szCs w:val="24"/>
        </w:rPr>
        <w:t xml:space="preserve"> de 2008, SAPAL suspendió el reconocimiento de los efectos de la inflación en los estados financieros; sin embargo, los activos, pasivos y patrimonio incluyen los efectos de </w:t>
      </w:r>
      <w:proofErr w:type="spellStart"/>
      <w:r w:rsidRPr="00471E05">
        <w:rPr>
          <w:rFonts w:asciiTheme="majorHAnsi" w:hAnsiTheme="majorHAnsi" w:cstheme="majorHAnsi"/>
          <w:sz w:val="24"/>
          <w:szCs w:val="24"/>
        </w:rPr>
        <w:t>reexpresión</w:t>
      </w:r>
      <w:proofErr w:type="spellEnd"/>
      <w:r w:rsidRPr="00471E05">
        <w:rPr>
          <w:rFonts w:asciiTheme="majorHAnsi" w:hAnsiTheme="majorHAnsi" w:cstheme="majorHAnsi"/>
          <w:sz w:val="24"/>
          <w:szCs w:val="24"/>
        </w:rPr>
        <w:t xml:space="preserve"> reconocidos hasta el 31 de diciembre de 2007.</w:t>
      </w:r>
    </w:p>
    <w:p w14:paraId="37556E17" w14:textId="7777777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El 1° de enero de 2008, SAPAL reclasificó la totalidad del saldo del Resultado por tenencia de activos no monetarios al Patrimonio.</w:t>
      </w:r>
    </w:p>
    <w:p w14:paraId="636D47D0" w14:textId="7777777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 xml:space="preserve">Efectivo y equivalentes de efectivo: Consisten principalmente en depósitos bancarios en cuentas de cheques e inversiones en valores a corto plazo, de gran liquidez, fácilmente convertibles en efectivo y sujetos a riesgos poco significativos de cambio en valor. El efectivo se presenta a valor nominal y los equivalentes se valúan a su valor razonable, las fluctuaciones en su valor se reconocen en el Resultado </w:t>
      </w:r>
      <w:r w:rsidRPr="00471E05">
        <w:rPr>
          <w:rFonts w:asciiTheme="majorHAnsi" w:hAnsiTheme="majorHAnsi" w:cstheme="majorHAnsi"/>
          <w:sz w:val="24"/>
          <w:szCs w:val="24"/>
        </w:rPr>
        <w:lastRenderedPageBreak/>
        <w:t>Integral de Financiamiento (RIF) del periodo. Los equivalentes de efectivo están representados principalmente por opciones de renta fija.</w:t>
      </w:r>
    </w:p>
    <w:p w14:paraId="7268E022" w14:textId="730137DE"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 xml:space="preserve">Aportaciones del gobierno federal, estatal y municipal. Las aportaciones del gobierno federal, estatal y </w:t>
      </w:r>
      <w:r w:rsidR="00102089" w:rsidRPr="00471E05">
        <w:rPr>
          <w:rFonts w:asciiTheme="majorHAnsi" w:hAnsiTheme="majorHAnsi" w:cstheme="majorHAnsi"/>
          <w:sz w:val="24"/>
          <w:szCs w:val="24"/>
        </w:rPr>
        <w:t>municipal</w:t>
      </w:r>
      <w:r w:rsidRPr="00471E05">
        <w:rPr>
          <w:rFonts w:asciiTheme="majorHAnsi" w:hAnsiTheme="majorHAnsi" w:cstheme="majorHAnsi"/>
          <w:sz w:val="24"/>
          <w:szCs w:val="24"/>
        </w:rPr>
        <w:t xml:space="preserve"> se registran como Cuentas por cobrar a la firma del convenio correspondiente, registrando el importe establecido en el mismo.</w:t>
      </w:r>
    </w:p>
    <w:p w14:paraId="3C6B75EF" w14:textId="0F67B0C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 xml:space="preserve">Infraestructura, inmuebles, maquinaria y equipo. Se registran al costo de adquisición y/o construcción. Los saldos que provienen de adquisiciones realizadas hasta el 31 de diciembre de </w:t>
      </w:r>
      <w:r w:rsidR="00102089" w:rsidRPr="00471E05">
        <w:rPr>
          <w:rFonts w:asciiTheme="majorHAnsi" w:hAnsiTheme="majorHAnsi" w:cstheme="majorHAnsi"/>
          <w:sz w:val="24"/>
          <w:szCs w:val="24"/>
        </w:rPr>
        <w:t>2007</w:t>
      </w:r>
      <w:r w:rsidRPr="00471E05">
        <w:rPr>
          <w:rFonts w:asciiTheme="majorHAnsi" w:hAnsiTheme="majorHAnsi" w:cstheme="majorHAnsi"/>
          <w:sz w:val="24"/>
          <w:szCs w:val="24"/>
        </w:rPr>
        <w:t xml:space="preserve"> se actualizaron aplicando factores derivados del Índice Nacional de Precios al Consumidor (INPC) hasta esa fecha. La depreciación sea calculada conforme al método de línea recta con base en la vida útil remanente de los activos.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E71D409" w14:textId="77777777" w:rsidR="00471E05" w:rsidRPr="00471E05" w:rsidRDefault="00471E05" w:rsidP="00471E05">
      <w:pPr>
        <w:spacing w:after="0" w:line="240" w:lineRule="auto"/>
        <w:ind w:firstLine="567"/>
        <w:jc w:val="both"/>
        <w:rPr>
          <w:rFonts w:asciiTheme="majorHAnsi" w:hAnsiTheme="majorHAnsi" w:cstheme="majorHAnsi"/>
          <w:sz w:val="24"/>
          <w:szCs w:val="24"/>
        </w:rPr>
      </w:pPr>
      <w:r w:rsidRPr="00471E05">
        <w:rPr>
          <w:rFonts w:asciiTheme="majorHAnsi" w:hAnsiTheme="majorHAnsi" w:cstheme="majorHAnsi"/>
          <w:sz w:val="24"/>
          <w:szCs w:val="24"/>
        </w:rPr>
        <w:t>El método de valuación de inventarios es por promedios.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708EA5CF" w14:textId="08AE457C" w:rsidR="00471E0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DA79336" w14:textId="77777777" w:rsidR="00471E05" w:rsidRPr="00471E05" w:rsidRDefault="00471E05" w:rsidP="00471E05">
      <w:pPr>
        <w:spacing w:after="0" w:line="240" w:lineRule="auto"/>
        <w:ind w:firstLine="567"/>
        <w:jc w:val="both"/>
        <w:rPr>
          <w:rFonts w:asciiTheme="majorHAnsi" w:hAnsiTheme="majorHAnsi" w:cstheme="majorHAnsi"/>
          <w:sz w:val="24"/>
          <w:szCs w:val="24"/>
        </w:rPr>
      </w:pPr>
      <w:r w:rsidRPr="00471E05">
        <w:rPr>
          <w:rFonts w:asciiTheme="majorHAnsi" w:hAnsiTheme="majorHAnsi" w:cstheme="majorHAnsi"/>
          <w:sz w:val="24"/>
          <w:szCs w:val="24"/>
        </w:rPr>
        <w:t xml:space="preserve">Se valúan en proporción a los servicios prestados, considerando los sueldos actuales y se reconoce el pasivo conforme se devengan. Incluye principalmente sueldos por pagar, vacaciones, prima vacacional e incentivos. </w:t>
      </w:r>
    </w:p>
    <w:p w14:paraId="30C74E6B" w14:textId="77777777" w:rsidR="00471E05" w:rsidRPr="00471E05" w:rsidRDefault="00471E05" w:rsidP="00471E05">
      <w:pPr>
        <w:spacing w:after="0" w:line="240" w:lineRule="auto"/>
        <w:jc w:val="both"/>
        <w:rPr>
          <w:rFonts w:asciiTheme="majorHAnsi" w:hAnsiTheme="majorHAnsi" w:cstheme="majorHAnsi"/>
          <w:sz w:val="24"/>
          <w:szCs w:val="24"/>
        </w:rPr>
      </w:pPr>
      <w:r w:rsidRPr="00471E05">
        <w:rPr>
          <w:rFonts w:asciiTheme="majorHAnsi" w:hAnsiTheme="majorHAnsi" w:cstheme="majorHAnsi"/>
          <w:sz w:val="24"/>
          <w:szCs w:val="24"/>
        </w:rPr>
        <w:t>Beneficios a los empleados por terminación, al retiro y otras. El pasivo por primas de antigüedad e indemnizaciones por terminación de la relación laboral se registra conforme se devenga, el cual se calcula por actuarios independientes con base en el método de crédito unitario proyectado utilizando tasas de interés nominales.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F7059DA" w14:textId="77777777" w:rsidR="00471E05" w:rsidRPr="00471E05" w:rsidRDefault="00471E05" w:rsidP="00471E05">
      <w:pPr>
        <w:ind w:firstLine="567"/>
        <w:jc w:val="both"/>
        <w:rPr>
          <w:rFonts w:asciiTheme="majorHAnsi" w:hAnsiTheme="majorHAnsi" w:cstheme="majorHAnsi"/>
          <w:sz w:val="24"/>
          <w:szCs w:val="24"/>
        </w:rPr>
      </w:pPr>
      <w:r w:rsidRPr="00471E05">
        <w:rPr>
          <w:rFonts w:asciiTheme="majorHAnsi" w:hAnsiTheme="majorHAnsi" w:cstheme="majorHAnsi"/>
          <w:sz w:val="24"/>
          <w:szCs w:val="24"/>
        </w:rPr>
        <w:t>Se reconocen cuando se tiene una obligación presente como resultado de un evento pasado, que probablemente resulte en la salida de recursos económicos y que pueda ser estimada razonablemente.</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5FAC0176" w14:textId="3DD68232" w:rsidR="00471E05" w:rsidRPr="00471E05" w:rsidRDefault="00471E05" w:rsidP="00471E05">
      <w:pPr>
        <w:spacing w:after="0" w:line="240" w:lineRule="auto"/>
        <w:ind w:firstLine="567"/>
        <w:jc w:val="both"/>
        <w:rPr>
          <w:rFonts w:asciiTheme="majorHAnsi" w:hAnsiTheme="majorHAnsi" w:cstheme="majorHAnsi"/>
          <w:sz w:val="24"/>
          <w:szCs w:val="24"/>
        </w:rPr>
      </w:pPr>
      <w:r w:rsidRPr="00471E05">
        <w:rPr>
          <w:rFonts w:asciiTheme="majorHAnsi" w:hAnsiTheme="majorHAnsi" w:cstheme="majorHAnsi"/>
          <w:sz w:val="24"/>
          <w:szCs w:val="24"/>
        </w:rPr>
        <w:t xml:space="preserve">El criterio para la determinación de la estimación de cuentas </w:t>
      </w:r>
      <w:r w:rsidR="00102089" w:rsidRPr="00471E05">
        <w:rPr>
          <w:rFonts w:asciiTheme="majorHAnsi" w:hAnsiTheme="majorHAnsi" w:cstheme="majorHAnsi"/>
          <w:sz w:val="24"/>
          <w:szCs w:val="24"/>
        </w:rPr>
        <w:t>incobrables</w:t>
      </w:r>
      <w:r w:rsidRPr="00471E05">
        <w:rPr>
          <w:rFonts w:asciiTheme="majorHAnsi" w:hAnsiTheme="majorHAnsi" w:cstheme="majorHAnsi"/>
          <w:sz w:val="24"/>
          <w:szCs w:val="24"/>
        </w:rPr>
        <w:t xml:space="preserve"> se toma como base los adeudos de 24 meses o más.</w:t>
      </w:r>
    </w:p>
    <w:p w14:paraId="5713C41B" w14:textId="77777777" w:rsidR="00471E05" w:rsidRPr="00471E05" w:rsidRDefault="00471E05" w:rsidP="00471E05">
      <w:pPr>
        <w:spacing w:after="0" w:line="240" w:lineRule="auto"/>
        <w:ind w:firstLine="567"/>
        <w:jc w:val="both"/>
        <w:rPr>
          <w:rFonts w:asciiTheme="majorHAnsi" w:hAnsiTheme="majorHAnsi" w:cstheme="majorHAnsi"/>
          <w:sz w:val="24"/>
          <w:szCs w:val="24"/>
        </w:rPr>
      </w:pPr>
      <w:r w:rsidRPr="00471E05">
        <w:rPr>
          <w:rFonts w:asciiTheme="majorHAnsi" w:hAnsiTheme="majorHAnsi" w:cstheme="majorHAnsi"/>
          <w:sz w:val="24"/>
          <w:szCs w:val="24"/>
        </w:rPr>
        <w:t>El criterio para obsolescencia de inventarios es el 2% del saldo del inventario al 31 de diciembre del ejercicio.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38C1E1A" w14:textId="77561786" w:rsidR="00102089" w:rsidRDefault="00102089" w:rsidP="00102089">
      <w:pPr>
        <w:ind w:firstLine="567"/>
        <w:jc w:val="both"/>
        <w:rPr>
          <w:rFonts w:asciiTheme="majorHAnsi" w:hAnsiTheme="majorHAnsi" w:cstheme="majorHAnsi"/>
          <w:sz w:val="24"/>
          <w:szCs w:val="24"/>
        </w:rPr>
      </w:pPr>
      <w:r w:rsidRPr="00102089">
        <w:rPr>
          <w:rFonts w:asciiTheme="majorHAnsi" w:hAnsiTheme="majorHAnsi" w:cstheme="majorHAnsi"/>
          <w:sz w:val="24"/>
          <w:szCs w:val="24"/>
        </w:rPr>
        <w:t>La depreciación se calcula sobre los valores actualizados hasta el 31 de diciembre de 2007 y sobre los valores históricos a partir del 1º. de enero de 2018, conforme al método de línea recta con base en la vida útil remanente de los activos, como sigue:</w:t>
      </w:r>
    </w:p>
    <w:tbl>
      <w:tblPr>
        <w:tblStyle w:val="Tablaconcuadrcula1clara"/>
        <w:tblW w:w="6457" w:type="dxa"/>
        <w:tblInd w:w="1469" w:type="dxa"/>
        <w:tblLook w:val="04A0" w:firstRow="1" w:lastRow="0" w:firstColumn="1" w:lastColumn="0" w:noHBand="0" w:noVBand="1"/>
      </w:tblPr>
      <w:tblGrid>
        <w:gridCol w:w="5303"/>
        <w:gridCol w:w="1204"/>
      </w:tblGrid>
      <w:tr w:rsidR="00102089" w:rsidRPr="00102089" w14:paraId="3ADF666E" w14:textId="77777777" w:rsidTr="0010208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3" w:type="dxa"/>
            <w:noWrap/>
            <w:hideMark/>
          </w:tcPr>
          <w:p w14:paraId="1145495C" w14:textId="77777777" w:rsidR="00102089" w:rsidRPr="00102089" w:rsidRDefault="00102089" w:rsidP="00607CC0">
            <w:pPr>
              <w:rPr>
                <w:rFonts w:asciiTheme="majorHAnsi" w:hAnsiTheme="majorHAnsi" w:cstheme="majorHAnsi"/>
                <w:b w:val="0"/>
                <w:bCs w:val="0"/>
                <w:sz w:val="24"/>
                <w:szCs w:val="24"/>
              </w:rPr>
            </w:pPr>
          </w:p>
        </w:tc>
        <w:tc>
          <w:tcPr>
            <w:tcW w:w="1154" w:type="dxa"/>
            <w:hideMark/>
          </w:tcPr>
          <w:p w14:paraId="0F4DE88F" w14:textId="77777777" w:rsidR="00102089" w:rsidRPr="00102089" w:rsidRDefault="00102089" w:rsidP="00607C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4"/>
                <w:szCs w:val="24"/>
              </w:rPr>
            </w:pPr>
            <w:proofErr w:type="spellStart"/>
            <w:r w:rsidRPr="00102089">
              <w:rPr>
                <w:rFonts w:asciiTheme="majorHAnsi" w:hAnsiTheme="majorHAnsi" w:cstheme="majorHAnsi"/>
                <w:b w:val="0"/>
                <w:bCs w:val="0"/>
                <w:color w:val="000000"/>
                <w:w w:val="105"/>
                <w:sz w:val="24"/>
                <w:szCs w:val="24"/>
                <w:lang w:val="en-US"/>
              </w:rPr>
              <w:t>Años</w:t>
            </w:r>
            <w:proofErr w:type="spellEnd"/>
            <w:r w:rsidRPr="00102089">
              <w:rPr>
                <w:rFonts w:asciiTheme="majorHAnsi" w:hAnsiTheme="majorHAnsi" w:cstheme="majorHAnsi"/>
                <w:b w:val="0"/>
                <w:bCs w:val="0"/>
                <w:color w:val="000000"/>
                <w:w w:val="105"/>
                <w:sz w:val="24"/>
                <w:szCs w:val="24"/>
                <w:lang w:val="en-US"/>
              </w:rPr>
              <w:t xml:space="preserve"> </w:t>
            </w:r>
            <w:proofErr w:type="spellStart"/>
            <w:r w:rsidRPr="00102089">
              <w:rPr>
                <w:rFonts w:asciiTheme="majorHAnsi" w:hAnsiTheme="majorHAnsi" w:cstheme="majorHAnsi"/>
                <w:b w:val="0"/>
                <w:bCs w:val="0"/>
                <w:color w:val="000000"/>
                <w:w w:val="105"/>
                <w:sz w:val="24"/>
                <w:szCs w:val="24"/>
                <w:lang w:val="en-US"/>
              </w:rPr>
              <w:t>Promedio</w:t>
            </w:r>
            <w:proofErr w:type="spellEnd"/>
          </w:p>
        </w:tc>
      </w:tr>
      <w:tr w:rsidR="00102089" w:rsidRPr="00102089" w14:paraId="272294EE" w14:textId="77777777" w:rsidTr="00102089">
        <w:trPr>
          <w:trHeight w:val="300"/>
        </w:trPr>
        <w:tc>
          <w:tcPr>
            <w:cnfStyle w:val="001000000000" w:firstRow="0" w:lastRow="0" w:firstColumn="1" w:lastColumn="0" w:oddVBand="0" w:evenVBand="0" w:oddHBand="0" w:evenHBand="0" w:firstRowFirstColumn="0" w:firstRowLastColumn="0" w:lastRowFirstColumn="0" w:lastRowLastColumn="0"/>
            <w:tcW w:w="5303" w:type="dxa"/>
            <w:noWrap/>
            <w:hideMark/>
          </w:tcPr>
          <w:p w14:paraId="27695172" w14:textId="77777777" w:rsidR="00102089" w:rsidRPr="00102089" w:rsidRDefault="00102089" w:rsidP="00607CC0">
            <w:pPr>
              <w:rPr>
                <w:rFonts w:asciiTheme="majorHAnsi" w:hAnsiTheme="majorHAnsi" w:cstheme="majorHAnsi"/>
                <w:b w:val="0"/>
                <w:bCs w:val="0"/>
                <w:color w:val="000000"/>
                <w:sz w:val="24"/>
                <w:szCs w:val="24"/>
              </w:rPr>
            </w:pPr>
            <w:proofErr w:type="spellStart"/>
            <w:r w:rsidRPr="00102089">
              <w:rPr>
                <w:rFonts w:asciiTheme="majorHAnsi" w:hAnsiTheme="majorHAnsi" w:cstheme="majorHAnsi"/>
                <w:b w:val="0"/>
                <w:bCs w:val="0"/>
                <w:color w:val="000000"/>
                <w:w w:val="105"/>
                <w:sz w:val="24"/>
                <w:szCs w:val="24"/>
                <w:lang w:val="en-US"/>
              </w:rPr>
              <w:t>Bienes</w:t>
            </w:r>
            <w:proofErr w:type="spellEnd"/>
            <w:r w:rsidRPr="00102089">
              <w:rPr>
                <w:rFonts w:asciiTheme="majorHAnsi" w:hAnsiTheme="majorHAnsi" w:cstheme="majorHAnsi"/>
                <w:b w:val="0"/>
                <w:bCs w:val="0"/>
                <w:color w:val="000000"/>
                <w:w w:val="105"/>
                <w:sz w:val="24"/>
                <w:szCs w:val="24"/>
                <w:lang w:val="en-US"/>
              </w:rPr>
              <w:t xml:space="preserve"> </w:t>
            </w:r>
            <w:proofErr w:type="spellStart"/>
            <w:r w:rsidRPr="00102089">
              <w:rPr>
                <w:rFonts w:asciiTheme="majorHAnsi" w:hAnsiTheme="majorHAnsi" w:cstheme="majorHAnsi"/>
                <w:b w:val="0"/>
                <w:bCs w:val="0"/>
                <w:color w:val="000000"/>
                <w:w w:val="105"/>
                <w:sz w:val="24"/>
                <w:szCs w:val="24"/>
                <w:lang w:val="en-US"/>
              </w:rPr>
              <w:t>inmuebles</w:t>
            </w:r>
            <w:proofErr w:type="spellEnd"/>
          </w:p>
        </w:tc>
        <w:tc>
          <w:tcPr>
            <w:tcW w:w="1154" w:type="dxa"/>
            <w:noWrap/>
            <w:hideMark/>
          </w:tcPr>
          <w:p w14:paraId="03D1EA9F" w14:textId="77777777" w:rsidR="00102089" w:rsidRPr="00102089" w:rsidRDefault="00102089" w:rsidP="00607C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102089">
              <w:rPr>
                <w:rFonts w:asciiTheme="majorHAnsi" w:hAnsiTheme="majorHAnsi" w:cstheme="majorHAnsi"/>
                <w:color w:val="000000"/>
                <w:w w:val="105"/>
                <w:sz w:val="24"/>
                <w:szCs w:val="24"/>
                <w:lang w:val="en-US"/>
              </w:rPr>
              <w:t>20</w:t>
            </w:r>
          </w:p>
        </w:tc>
      </w:tr>
      <w:tr w:rsidR="00102089" w:rsidRPr="00102089" w14:paraId="00E401F0" w14:textId="77777777" w:rsidTr="00102089">
        <w:trPr>
          <w:trHeight w:val="315"/>
        </w:trPr>
        <w:tc>
          <w:tcPr>
            <w:cnfStyle w:val="001000000000" w:firstRow="0" w:lastRow="0" w:firstColumn="1" w:lastColumn="0" w:oddVBand="0" w:evenVBand="0" w:oddHBand="0" w:evenHBand="0" w:firstRowFirstColumn="0" w:firstRowLastColumn="0" w:lastRowFirstColumn="0" w:lastRowLastColumn="0"/>
            <w:tcW w:w="5303" w:type="dxa"/>
            <w:noWrap/>
            <w:hideMark/>
          </w:tcPr>
          <w:p w14:paraId="74B826A7" w14:textId="77777777" w:rsidR="00102089" w:rsidRPr="00102089" w:rsidRDefault="00102089" w:rsidP="00607CC0">
            <w:pPr>
              <w:rPr>
                <w:rFonts w:asciiTheme="majorHAnsi" w:hAnsiTheme="majorHAnsi" w:cstheme="majorHAnsi"/>
                <w:b w:val="0"/>
                <w:bCs w:val="0"/>
                <w:color w:val="000000"/>
                <w:sz w:val="24"/>
                <w:szCs w:val="24"/>
              </w:rPr>
            </w:pPr>
            <w:r w:rsidRPr="00102089">
              <w:rPr>
                <w:rFonts w:asciiTheme="majorHAnsi" w:hAnsiTheme="majorHAnsi" w:cstheme="majorHAnsi"/>
                <w:b w:val="0"/>
                <w:bCs w:val="0"/>
                <w:color w:val="000000"/>
                <w:w w:val="105"/>
                <w:sz w:val="24"/>
                <w:szCs w:val="24"/>
              </w:rPr>
              <w:t>Bienes muebles, excepto equipo de transporte y cómputo</w:t>
            </w:r>
          </w:p>
        </w:tc>
        <w:tc>
          <w:tcPr>
            <w:tcW w:w="1154" w:type="dxa"/>
            <w:noWrap/>
            <w:hideMark/>
          </w:tcPr>
          <w:p w14:paraId="10D97180" w14:textId="77777777" w:rsidR="00102089" w:rsidRPr="00102089" w:rsidRDefault="00102089" w:rsidP="00607C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102089">
              <w:rPr>
                <w:rFonts w:asciiTheme="majorHAnsi" w:hAnsiTheme="majorHAnsi" w:cstheme="majorHAnsi"/>
                <w:color w:val="000000"/>
                <w:w w:val="105"/>
                <w:sz w:val="24"/>
                <w:szCs w:val="24"/>
                <w:lang w:val="en-US"/>
              </w:rPr>
              <w:t>10</w:t>
            </w:r>
          </w:p>
        </w:tc>
      </w:tr>
      <w:tr w:rsidR="00102089" w:rsidRPr="00102089" w14:paraId="6A7DA384" w14:textId="77777777" w:rsidTr="00102089">
        <w:trPr>
          <w:trHeight w:val="315"/>
        </w:trPr>
        <w:tc>
          <w:tcPr>
            <w:cnfStyle w:val="001000000000" w:firstRow="0" w:lastRow="0" w:firstColumn="1" w:lastColumn="0" w:oddVBand="0" w:evenVBand="0" w:oddHBand="0" w:evenHBand="0" w:firstRowFirstColumn="0" w:firstRowLastColumn="0" w:lastRowFirstColumn="0" w:lastRowLastColumn="0"/>
            <w:tcW w:w="5303" w:type="dxa"/>
            <w:noWrap/>
            <w:hideMark/>
          </w:tcPr>
          <w:p w14:paraId="462AFDC6" w14:textId="77777777" w:rsidR="00102089" w:rsidRPr="00102089" w:rsidRDefault="00102089" w:rsidP="00607CC0">
            <w:pPr>
              <w:rPr>
                <w:rFonts w:asciiTheme="majorHAnsi" w:hAnsiTheme="majorHAnsi" w:cstheme="majorHAnsi"/>
                <w:b w:val="0"/>
                <w:bCs w:val="0"/>
                <w:color w:val="000000"/>
                <w:sz w:val="24"/>
                <w:szCs w:val="24"/>
              </w:rPr>
            </w:pPr>
            <w:r w:rsidRPr="00102089">
              <w:rPr>
                <w:rFonts w:asciiTheme="majorHAnsi" w:hAnsiTheme="majorHAnsi" w:cstheme="majorHAnsi"/>
                <w:b w:val="0"/>
                <w:bCs w:val="0"/>
                <w:color w:val="000000"/>
                <w:sz w:val="24"/>
                <w:szCs w:val="24"/>
              </w:rPr>
              <w:t>Equipo de transporte</w:t>
            </w:r>
          </w:p>
        </w:tc>
        <w:tc>
          <w:tcPr>
            <w:tcW w:w="1154" w:type="dxa"/>
            <w:noWrap/>
            <w:hideMark/>
          </w:tcPr>
          <w:p w14:paraId="5FCD853F" w14:textId="77777777" w:rsidR="00102089" w:rsidRPr="00102089" w:rsidRDefault="00102089" w:rsidP="00607C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102089">
              <w:rPr>
                <w:rFonts w:asciiTheme="majorHAnsi" w:hAnsiTheme="majorHAnsi" w:cstheme="majorHAnsi"/>
                <w:color w:val="000000"/>
                <w:sz w:val="24"/>
                <w:szCs w:val="24"/>
                <w:lang w:val="en-US"/>
              </w:rPr>
              <w:t>4</w:t>
            </w:r>
          </w:p>
        </w:tc>
      </w:tr>
      <w:tr w:rsidR="00102089" w:rsidRPr="00102089" w14:paraId="1022A5CD" w14:textId="77777777" w:rsidTr="00102089">
        <w:trPr>
          <w:trHeight w:val="300"/>
        </w:trPr>
        <w:tc>
          <w:tcPr>
            <w:cnfStyle w:val="001000000000" w:firstRow="0" w:lastRow="0" w:firstColumn="1" w:lastColumn="0" w:oddVBand="0" w:evenVBand="0" w:oddHBand="0" w:evenHBand="0" w:firstRowFirstColumn="0" w:firstRowLastColumn="0" w:lastRowFirstColumn="0" w:lastRowLastColumn="0"/>
            <w:tcW w:w="5303" w:type="dxa"/>
            <w:noWrap/>
            <w:hideMark/>
          </w:tcPr>
          <w:p w14:paraId="70F6F2CA" w14:textId="77777777" w:rsidR="00102089" w:rsidRPr="00102089" w:rsidRDefault="00102089" w:rsidP="00607CC0">
            <w:pPr>
              <w:rPr>
                <w:rFonts w:asciiTheme="majorHAnsi" w:hAnsiTheme="majorHAnsi" w:cstheme="majorHAnsi"/>
                <w:b w:val="0"/>
                <w:bCs w:val="0"/>
                <w:color w:val="000000"/>
                <w:sz w:val="24"/>
                <w:szCs w:val="24"/>
              </w:rPr>
            </w:pPr>
            <w:proofErr w:type="spellStart"/>
            <w:r w:rsidRPr="00102089">
              <w:rPr>
                <w:rFonts w:asciiTheme="majorHAnsi" w:hAnsiTheme="majorHAnsi" w:cstheme="majorHAnsi"/>
                <w:b w:val="0"/>
                <w:bCs w:val="0"/>
                <w:color w:val="000000"/>
                <w:w w:val="105"/>
                <w:sz w:val="24"/>
                <w:szCs w:val="24"/>
                <w:lang w:val="en-US"/>
              </w:rPr>
              <w:t>Equipo</w:t>
            </w:r>
            <w:proofErr w:type="spellEnd"/>
            <w:r w:rsidRPr="00102089">
              <w:rPr>
                <w:rFonts w:asciiTheme="majorHAnsi" w:hAnsiTheme="majorHAnsi" w:cstheme="majorHAnsi"/>
                <w:b w:val="0"/>
                <w:bCs w:val="0"/>
                <w:color w:val="000000"/>
                <w:w w:val="105"/>
                <w:sz w:val="24"/>
                <w:szCs w:val="24"/>
                <w:lang w:val="en-US"/>
              </w:rPr>
              <w:t xml:space="preserve"> de </w:t>
            </w:r>
            <w:proofErr w:type="spellStart"/>
            <w:r w:rsidRPr="00102089">
              <w:rPr>
                <w:rFonts w:asciiTheme="majorHAnsi" w:hAnsiTheme="majorHAnsi" w:cstheme="majorHAnsi"/>
                <w:b w:val="0"/>
                <w:bCs w:val="0"/>
                <w:color w:val="000000"/>
                <w:w w:val="105"/>
                <w:sz w:val="24"/>
                <w:szCs w:val="24"/>
                <w:lang w:val="en-US"/>
              </w:rPr>
              <w:t>cómputo</w:t>
            </w:r>
            <w:proofErr w:type="spellEnd"/>
          </w:p>
        </w:tc>
        <w:tc>
          <w:tcPr>
            <w:tcW w:w="1154" w:type="dxa"/>
            <w:noWrap/>
            <w:hideMark/>
          </w:tcPr>
          <w:p w14:paraId="75992B65" w14:textId="77777777" w:rsidR="00102089" w:rsidRPr="00102089" w:rsidRDefault="00102089" w:rsidP="00607C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102089">
              <w:rPr>
                <w:rFonts w:asciiTheme="majorHAnsi" w:hAnsiTheme="majorHAnsi" w:cstheme="majorHAnsi"/>
                <w:color w:val="000000"/>
                <w:sz w:val="24"/>
                <w:szCs w:val="24"/>
                <w:lang w:val="en-US"/>
              </w:rPr>
              <w:t>4</w:t>
            </w:r>
          </w:p>
        </w:tc>
      </w:tr>
    </w:tbl>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903FE2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93B3854" w14:textId="77777777" w:rsidR="009F506C" w:rsidRPr="00E74967" w:rsidRDefault="009F506C" w:rsidP="00CB41C4">
      <w:pPr>
        <w:tabs>
          <w:tab w:val="left" w:leader="underscore" w:pos="9639"/>
        </w:tabs>
        <w:spacing w:after="0" w:line="240" w:lineRule="auto"/>
        <w:jc w:val="both"/>
        <w:rPr>
          <w:rFonts w:cs="Calibri"/>
        </w:rPr>
      </w:pPr>
    </w:p>
    <w:tbl>
      <w:tblPr>
        <w:tblStyle w:val="Tablanormal3"/>
        <w:tblW w:w="5064" w:type="dxa"/>
        <w:tblInd w:w="1882" w:type="dxa"/>
        <w:tblLook w:val="04A0" w:firstRow="1" w:lastRow="0" w:firstColumn="1" w:lastColumn="0" w:noHBand="0" w:noVBand="1"/>
      </w:tblPr>
      <w:tblGrid>
        <w:gridCol w:w="3402"/>
        <w:gridCol w:w="1662"/>
      </w:tblGrid>
      <w:tr w:rsidR="009F506C" w:rsidRPr="009F506C" w14:paraId="36D45FA4" w14:textId="77777777" w:rsidTr="00FF678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2" w:type="dxa"/>
            <w:hideMark/>
          </w:tcPr>
          <w:p w14:paraId="493B75E7" w14:textId="77777777" w:rsidR="009F506C" w:rsidRPr="009F506C" w:rsidRDefault="009F506C" w:rsidP="00607CC0">
            <w:pPr>
              <w:spacing w:after="0" w:line="240" w:lineRule="auto"/>
              <w:jc w:val="center"/>
              <w:rPr>
                <w:rFonts w:asciiTheme="majorHAnsi" w:eastAsia="Times New Roman" w:hAnsiTheme="majorHAnsi" w:cstheme="majorHAnsi"/>
                <w:color w:val="000000"/>
                <w:sz w:val="20"/>
                <w:szCs w:val="20"/>
                <w:lang w:eastAsia="es-MX"/>
              </w:rPr>
            </w:pPr>
            <w:r w:rsidRPr="009F506C">
              <w:rPr>
                <w:rFonts w:asciiTheme="majorHAnsi" w:eastAsia="Times New Roman" w:hAnsiTheme="majorHAnsi" w:cstheme="majorHAnsi"/>
                <w:color w:val="000000"/>
                <w:sz w:val="20"/>
                <w:szCs w:val="20"/>
                <w:lang w:eastAsia="es-MX"/>
              </w:rPr>
              <w:t>Rubro</w:t>
            </w:r>
          </w:p>
        </w:tc>
        <w:tc>
          <w:tcPr>
            <w:tcW w:w="1662" w:type="dxa"/>
            <w:hideMark/>
          </w:tcPr>
          <w:p w14:paraId="0926F6BD" w14:textId="77777777" w:rsidR="009F506C" w:rsidRPr="009F506C" w:rsidRDefault="009F506C" w:rsidP="00607C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MX"/>
              </w:rPr>
            </w:pPr>
            <w:r w:rsidRPr="009F506C">
              <w:rPr>
                <w:rFonts w:asciiTheme="majorHAnsi" w:eastAsia="Times New Roman" w:hAnsiTheme="majorHAnsi" w:cstheme="majorHAnsi"/>
                <w:color w:val="000000"/>
                <w:sz w:val="20"/>
                <w:szCs w:val="20"/>
                <w:lang w:eastAsia="es-MX"/>
              </w:rPr>
              <w:t>Acumulado</w:t>
            </w:r>
          </w:p>
        </w:tc>
      </w:tr>
      <w:tr w:rsidR="009F506C" w:rsidRPr="009F506C" w14:paraId="3D84BC1E" w14:textId="77777777" w:rsidTr="00FF6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0C65EC26"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Servicios de Agua</w:t>
            </w:r>
          </w:p>
        </w:tc>
        <w:tc>
          <w:tcPr>
            <w:tcW w:w="1662" w:type="dxa"/>
            <w:hideMark/>
          </w:tcPr>
          <w:p w14:paraId="3D2131EA" w14:textId="42079CE4" w:rsidR="009F506C" w:rsidRPr="009F506C" w:rsidRDefault="00F2519A" w:rsidP="00607CC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MX"/>
              </w:rPr>
            </w:pPr>
            <w:r>
              <w:rPr>
                <w:rFonts w:asciiTheme="majorHAnsi" w:eastAsia="Times New Roman" w:hAnsiTheme="majorHAnsi" w:cstheme="majorHAnsi"/>
                <w:color w:val="000000"/>
                <w:sz w:val="20"/>
                <w:szCs w:val="20"/>
                <w:lang w:eastAsia="es-MX"/>
              </w:rPr>
              <w:t>2,172,063,583</w:t>
            </w:r>
          </w:p>
        </w:tc>
      </w:tr>
      <w:tr w:rsidR="009F506C" w:rsidRPr="009F506C" w14:paraId="293F3666" w14:textId="77777777" w:rsidTr="00FF678A">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2831AA22"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Agua tratada</w:t>
            </w:r>
          </w:p>
        </w:tc>
        <w:tc>
          <w:tcPr>
            <w:tcW w:w="1662" w:type="dxa"/>
            <w:hideMark/>
          </w:tcPr>
          <w:p w14:paraId="1458AF06" w14:textId="403E77D9" w:rsidR="009F506C" w:rsidRPr="009F506C" w:rsidRDefault="00F2519A" w:rsidP="00607C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MX"/>
              </w:rPr>
            </w:pPr>
            <w:r>
              <w:rPr>
                <w:rFonts w:asciiTheme="majorHAnsi" w:eastAsia="Times New Roman" w:hAnsiTheme="majorHAnsi" w:cstheme="majorHAnsi"/>
                <w:color w:val="000000"/>
                <w:sz w:val="20"/>
                <w:szCs w:val="20"/>
                <w:lang w:eastAsia="es-MX"/>
              </w:rPr>
              <w:t>27,915,682</w:t>
            </w:r>
          </w:p>
        </w:tc>
      </w:tr>
      <w:tr w:rsidR="009F506C" w:rsidRPr="009F506C" w14:paraId="5A851551" w14:textId="77777777" w:rsidTr="00FF6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7916A9E3"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Incorporación</w:t>
            </w:r>
          </w:p>
        </w:tc>
        <w:tc>
          <w:tcPr>
            <w:tcW w:w="1662" w:type="dxa"/>
            <w:hideMark/>
          </w:tcPr>
          <w:p w14:paraId="75806A90" w14:textId="4072A60C" w:rsidR="009F506C" w:rsidRPr="009F506C" w:rsidRDefault="00F2519A" w:rsidP="00607CC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MX"/>
              </w:rPr>
            </w:pPr>
            <w:r>
              <w:rPr>
                <w:rFonts w:asciiTheme="majorHAnsi" w:eastAsia="Times New Roman" w:hAnsiTheme="majorHAnsi" w:cstheme="majorHAnsi"/>
                <w:color w:val="000000"/>
                <w:sz w:val="20"/>
                <w:szCs w:val="20"/>
                <w:lang w:eastAsia="es-MX"/>
              </w:rPr>
              <w:t>398,476,178</w:t>
            </w:r>
          </w:p>
        </w:tc>
      </w:tr>
      <w:tr w:rsidR="009F506C" w:rsidRPr="009F506C" w14:paraId="0CAB32D4" w14:textId="77777777" w:rsidTr="00FF678A">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3E8F99C5"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Otros Ingresos</w:t>
            </w:r>
          </w:p>
        </w:tc>
        <w:tc>
          <w:tcPr>
            <w:tcW w:w="1662" w:type="dxa"/>
            <w:hideMark/>
          </w:tcPr>
          <w:p w14:paraId="260AF023" w14:textId="6C577337" w:rsidR="009F506C" w:rsidRPr="009F506C" w:rsidRDefault="00F2519A" w:rsidP="00607C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MX"/>
              </w:rPr>
            </w:pPr>
            <w:r>
              <w:rPr>
                <w:rFonts w:asciiTheme="majorHAnsi" w:eastAsia="Times New Roman" w:hAnsiTheme="majorHAnsi" w:cstheme="majorHAnsi"/>
                <w:color w:val="000000"/>
                <w:sz w:val="20"/>
                <w:szCs w:val="20"/>
                <w:lang w:eastAsia="es-MX"/>
              </w:rPr>
              <w:t>189,129,607</w:t>
            </w:r>
          </w:p>
        </w:tc>
      </w:tr>
      <w:tr w:rsidR="009F506C" w:rsidRPr="009F506C" w14:paraId="1ECBBB93" w14:textId="77777777" w:rsidTr="00FF6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1EC9A6C4"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Suma Total</w:t>
            </w:r>
          </w:p>
        </w:tc>
        <w:tc>
          <w:tcPr>
            <w:tcW w:w="1662" w:type="dxa"/>
            <w:hideMark/>
          </w:tcPr>
          <w:p w14:paraId="390F6613" w14:textId="67218A58" w:rsidR="009F506C" w:rsidRPr="009F506C" w:rsidRDefault="00F2519A" w:rsidP="00607CC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MX"/>
              </w:rPr>
            </w:pPr>
            <w:r>
              <w:rPr>
                <w:rFonts w:asciiTheme="majorHAnsi" w:eastAsia="Times New Roman" w:hAnsiTheme="majorHAnsi" w:cstheme="majorHAnsi"/>
                <w:b/>
                <w:bCs/>
                <w:color w:val="000000"/>
                <w:sz w:val="20"/>
                <w:szCs w:val="20"/>
                <w:lang w:eastAsia="es-MX"/>
              </w:rPr>
              <w:t>2,787,585,049</w:t>
            </w:r>
          </w:p>
        </w:tc>
      </w:tr>
    </w:tbl>
    <w:p w14:paraId="4FA2E1ED" w14:textId="4C1D422A" w:rsidR="007D1E76" w:rsidRDefault="007D1E76" w:rsidP="00CB41C4">
      <w:pPr>
        <w:tabs>
          <w:tab w:val="left" w:leader="underscore" w:pos="9639"/>
        </w:tabs>
        <w:spacing w:after="0" w:line="240" w:lineRule="auto"/>
        <w:jc w:val="both"/>
        <w:rPr>
          <w:rFonts w:cs="Calibri"/>
        </w:rPr>
      </w:pPr>
    </w:p>
    <w:p w14:paraId="19801655" w14:textId="77777777" w:rsidR="009F506C" w:rsidRPr="00E74967" w:rsidRDefault="009F506C"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64DDBED1" w:rsidR="007D1E76" w:rsidRDefault="007D1E76" w:rsidP="00CB41C4">
      <w:pPr>
        <w:tabs>
          <w:tab w:val="left" w:leader="underscore" w:pos="9639"/>
        </w:tabs>
        <w:spacing w:after="0" w:line="240" w:lineRule="auto"/>
        <w:jc w:val="both"/>
        <w:rPr>
          <w:rFonts w:cs="Calibri"/>
        </w:rPr>
      </w:pPr>
    </w:p>
    <w:p w14:paraId="29EE501D" w14:textId="77777777" w:rsidR="00FF678A" w:rsidRPr="00E74967" w:rsidRDefault="00FF678A"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AF0FCCF" w14:textId="77777777" w:rsidR="00FF678A" w:rsidRPr="00FF678A" w:rsidRDefault="00FF678A" w:rsidP="00FF678A">
      <w:pPr>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t>La calificación otorgada por Fitch México, S.A. de C.V., ratifica al SAPAL en ‘</w:t>
      </w:r>
      <w:proofErr w:type="gramStart"/>
      <w:r w:rsidRPr="00FF678A">
        <w:rPr>
          <w:rFonts w:asciiTheme="majorHAnsi" w:hAnsiTheme="majorHAnsi" w:cstheme="majorHAnsi"/>
          <w:sz w:val="24"/>
          <w:szCs w:val="24"/>
        </w:rPr>
        <w:t>AAA(</w:t>
      </w:r>
      <w:proofErr w:type="spellStart"/>
      <w:proofErr w:type="gramEnd"/>
      <w:r w:rsidRPr="00FF678A">
        <w:rPr>
          <w:rFonts w:asciiTheme="majorHAnsi" w:hAnsiTheme="majorHAnsi" w:cstheme="majorHAnsi"/>
          <w:sz w:val="24"/>
          <w:szCs w:val="24"/>
        </w:rPr>
        <w:t>mex</w:t>
      </w:r>
      <w:proofErr w:type="spellEnd"/>
      <w:r w:rsidRPr="00FF678A">
        <w:rPr>
          <w:rFonts w:asciiTheme="majorHAnsi" w:hAnsiTheme="majorHAnsi" w:cstheme="majorHAnsi"/>
          <w:sz w:val="24"/>
          <w:szCs w:val="24"/>
        </w:rPr>
        <w:t>). La acción de calificación se fundamenta en los márgenes financieros y de liquidez sólidos y consistentes que ha registrado SAPAL en el período de análisis; asimismo, considera la política conservadora de endeudamiento reflejada en niveles bajos o nulos de deuda bancaria. La administración es fuerte, destacando su planeación a mediano y largo plazo.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A2984B4" w14:textId="77777777" w:rsidR="00FF678A" w:rsidRPr="00FF678A" w:rsidRDefault="00FF678A" w:rsidP="00FF678A">
      <w:pPr>
        <w:ind w:firstLine="567"/>
        <w:rPr>
          <w:rFonts w:asciiTheme="majorHAnsi" w:hAnsiTheme="majorHAnsi" w:cstheme="majorHAnsi"/>
          <w:sz w:val="24"/>
          <w:szCs w:val="24"/>
        </w:rPr>
      </w:pPr>
      <w:r w:rsidRPr="00FF678A">
        <w:rPr>
          <w:rFonts w:asciiTheme="majorHAnsi" w:hAnsiTheme="majorHAnsi" w:cstheme="majorHAnsi"/>
          <w:sz w:val="24"/>
          <w:szCs w:val="24"/>
        </w:rPr>
        <w:t>Las políticas de control interno se encuentran en el Sistema de Gestión Integral con base en las normas ISO-9001:2000 e ISO-14001:2004</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DD9FE3B" w14:textId="6FF80734" w:rsidR="00FF678A" w:rsidRPr="00FF678A" w:rsidRDefault="00FF678A" w:rsidP="00FF678A">
      <w:pPr>
        <w:tabs>
          <w:tab w:val="left" w:leader="underscore" w:pos="9639"/>
        </w:tabs>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t>Se encuentran comprendidas en el Programa Operativo Anual (POA)</w:t>
      </w:r>
    </w:p>
    <w:p w14:paraId="43AA64A8" w14:textId="77777777" w:rsidR="00FF678A" w:rsidRDefault="00FF678A" w:rsidP="000C3365">
      <w:pPr>
        <w:pStyle w:val="Ttulo2"/>
        <w:rPr>
          <w:rFonts w:asciiTheme="minorHAnsi" w:hAnsiTheme="minorHAnsi" w:cstheme="minorHAnsi"/>
          <w:b/>
          <w:color w:val="auto"/>
          <w:sz w:val="22"/>
        </w:rPr>
      </w:pPr>
      <w:bookmarkStart w:id="13" w:name="_Toc508279634"/>
    </w:p>
    <w:p w14:paraId="3D010C2A" w14:textId="30AEF99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AE46774"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761D8F5" w14:textId="3ECC61AE" w:rsidR="00FF678A" w:rsidRDefault="00FF678A" w:rsidP="00CB41C4">
      <w:pPr>
        <w:tabs>
          <w:tab w:val="left" w:leader="underscore" w:pos="9639"/>
        </w:tabs>
        <w:spacing w:after="0" w:line="240" w:lineRule="auto"/>
        <w:jc w:val="both"/>
        <w:rPr>
          <w:rFonts w:cs="Calibri"/>
        </w:rPr>
      </w:pPr>
    </w:p>
    <w:p w14:paraId="7D3D0FC0" w14:textId="212EB50F" w:rsidR="00FF678A" w:rsidRPr="00FF678A" w:rsidRDefault="00FF678A" w:rsidP="00FF678A">
      <w:pPr>
        <w:tabs>
          <w:tab w:val="left" w:leader="underscore" w:pos="9639"/>
        </w:tabs>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lastRenderedPageBreak/>
        <w:t>“Esta nota no le aplica al ente público”. Por el momento no es necesario segmentar información</w:t>
      </w:r>
      <w:r>
        <w:rPr>
          <w:rFonts w:asciiTheme="majorHAnsi" w:hAnsiTheme="majorHAnsi" w:cstheme="majorHAnsi"/>
          <w:sz w:val="24"/>
          <w:szCs w:val="24"/>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7E4C8C2"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76BFF98" w14:textId="77777777" w:rsidR="00FF678A" w:rsidRPr="00FF678A" w:rsidRDefault="00FF678A" w:rsidP="00FF678A">
      <w:pPr>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t>“Esta nota no le aplica al ente público”. Por el momento no hay eventos posteriores al cierre.</w:t>
      </w:r>
    </w:p>
    <w:p w14:paraId="3EF678D1" w14:textId="77777777" w:rsidR="00FF678A" w:rsidRPr="00E74967" w:rsidRDefault="00FF678A"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0F41204" w:rsidR="007D1E76" w:rsidRPr="00FF678A" w:rsidRDefault="00FF678A" w:rsidP="00FF678A">
      <w:pPr>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t>“Esta nota no le aplica al ente público”.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1495E307"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w:t>
      </w:r>
    </w:p>
    <w:p w14:paraId="55333B97" w14:textId="2981E49A" w:rsidR="00FF678A" w:rsidRDefault="00FF678A" w:rsidP="00CB41C4">
      <w:pPr>
        <w:tabs>
          <w:tab w:val="left" w:leader="underscore" w:pos="9639"/>
        </w:tabs>
        <w:spacing w:after="0" w:line="240" w:lineRule="auto"/>
        <w:jc w:val="both"/>
        <w:rPr>
          <w:rFonts w:cs="Calibri"/>
        </w:rPr>
      </w:pPr>
    </w:p>
    <w:p w14:paraId="772BAC21" w14:textId="61775311" w:rsidR="00FF678A" w:rsidRDefault="00FF678A" w:rsidP="00CB41C4">
      <w:pPr>
        <w:tabs>
          <w:tab w:val="left" w:leader="underscore" w:pos="9639"/>
        </w:tabs>
        <w:spacing w:after="0" w:line="240" w:lineRule="auto"/>
        <w:jc w:val="both"/>
        <w:rPr>
          <w:rFonts w:cs="Calibri"/>
        </w:rPr>
      </w:pPr>
    </w:p>
    <w:p w14:paraId="39BA8E5D" w14:textId="5750B4A7" w:rsidR="00FF678A" w:rsidRDefault="00FF678A" w:rsidP="00CB41C4">
      <w:pPr>
        <w:tabs>
          <w:tab w:val="left" w:leader="underscore" w:pos="9639"/>
        </w:tabs>
        <w:spacing w:after="0" w:line="240" w:lineRule="auto"/>
        <w:jc w:val="both"/>
        <w:rPr>
          <w:rFonts w:cs="Calibri"/>
        </w:rPr>
      </w:pPr>
    </w:p>
    <w:p w14:paraId="6E58AB0B" w14:textId="6B70F086" w:rsidR="00FF678A" w:rsidRDefault="00F93FD6" w:rsidP="00CB41C4">
      <w:pPr>
        <w:tabs>
          <w:tab w:val="left" w:leader="underscore" w:pos="9639"/>
        </w:tabs>
        <w:spacing w:after="0" w:line="240" w:lineRule="auto"/>
        <w:jc w:val="both"/>
        <w:rPr>
          <w:rFonts w:cs="Calibri"/>
        </w:rPr>
      </w:pPr>
      <w:r>
        <w:rPr>
          <w:rFonts w:cs="Calibri"/>
          <w:noProof/>
        </w:rPr>
        <w:drawing>
          <wp:anchor distT="0" distB="0" distL="114300" distR="114300" simplePos="0" relativeHeight="251662336" behindDoc="0" locked="0" layoutInCell="1" allowOverlap="1" wp14:anchorId="1B74C3C2" wp14:editId="4BD93204">
            <wp:simplePos x="0" y="0"/>
            <wp:positionH relativeFrom="column">
              <wp:posOffset>-43217</wp:posOffset>
            </wp:positionH>
            <wp:positionV relativeFrom="paragraph">
              <wp:posOffset>140970</wp:posOffset>
            </wp:positionV>
            <wp:extent cx="6151880" cy="43942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6151880" cy="439420"/>
                    </a:xfrm>
                    <a:prstGeom prst="rect">
                      <a:avLst/>
                    </a:prstGeom>
                  </pic:spPr>
                </pic:pic>
              </a:graphicData>
            </a:graphic>
          </wp:anchor>
        </w:drawing>
      </w:r>
      <w:r>
        <w:rPr>
          <w:rFonts w:cs="Calibri"/>
          <w:noProof/>
        </w:rPr>
        <mc:AlternateContent>
          <mc:Choice Requires="wps">
            <w:drawing>
              <wp:anchor distT="0" distB="0" distL="114300" distR="114300" simplePos="0" relativeHeight="251661312" behindDoc="0" locked="0" layoutInCell="1" allowOverlap="1" wp14:anchorId="07ED5867" wp14:editId="35B296AB">
                <wp:simplePos x="0" y="0"/>
                <wp:positionH relativeFrom="column">
                  <wp:posOffset>3904652</wp:posOffset>
                </wp:positionH>
                <wp:positionV relativeFrom="paragraph">
                  <wp:posOffset>105261</wp:posOffset>
                </wp:positionV>
                <wp:extent cx="2346587" cy="4482"/>
                <wp:effectExtent l="0" t="0" r="34925" b="33655"/>
                <wp:wrapNone/>
                <wp:docPr id="4" name="Conector recto 4"/>
                <wp:cNvGraphicFramePr/>
                <a:graphic xmlns:a="http://schemas.openxmlformats.org/drawingml/2006/main">
                  <a:graphicData uri="http://schemas.microsoft.com/office/word/2010/wordprocessingShape">
                    <wps:wsp>
                      <wps:cNvCnPr/>
                      <wps:spPr>
                        <a:xfrm flipV="1">
                          <a:off x="0" y="0"/>
                          <a:ext cx="2346587" cy="4482"/>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DE73B0C" id="Conector recto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45pt,8.3pt" to="49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" strokecolor="black [3200]" strokeweight="1pt">
                <v:stroke joinstyle="miter"/>
              </v:line>
            </w:pict>
          </mc:Fallback>
        </mc:AlternateContent>
      </w:r>
      <w:r>
        <w:rPr>
          <w:rFonts w:cs="Calibri"/>
          <w:noProof/>
        </w:rPr>
        <mc:AlternateContent>
          <mc:Choice Requires="wps">
            <w:drawing>
              <wp:anchor distT="0" distB="0" distL="114300" distR="114300" simplePos="0" relativeHeight="251659264" behindDoc="0" locked="0" layoutInCell="1" allowOverlap="1" wp14:anchorId="29127335" wp14:editId="27A7F2F6">
                <wp:simplePos x="0" y="0"/>
                <wp:positionH relativeFrom="column">
                  <wp:posOffset>-13447</wp:posOffset>
                </wp:positionH>
                <wp:positionV relativeFrom="paragraph">
                  <wp:posOffset>109220</wp:posOffset>
                </wp:positionV>
                <wp:extent cx="288036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8803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26F98B"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8.6pt" to="225.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" strokecolor="black [3200]" strokeweight="1pt">
                <v:stroke joinstyle="miter"/>
              </v:line>
            </w:pict>
          </mc:Fallback>
        </mc:AlternateContent>
      </w:r>
    </w:p>
    <w:p w14:paraId="4A2D2FC1" w14:textId="3A97C518" w:rsidR="00FF678A" w:rsidRDefault="00FF678A" w:rsidP="00CB41C4">
      <w:pPr>
        <w:tabs>
          <w:tab w:val="left" w:leader="underscore" w:pos="9639"/>
        </w:tabs>
        <w:spacing w:after="0" w:line="240" w:lineRule="auto"/>
        <w:jc w:val="both"/>
        <w:rPr>
          <w:rFonts w:cs="Calibri"/>
        </w:rPr>
      </w:pPr>
    </w:p>
    <w:sectPr w:rsidR="00FF678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DCB5" w14:textId="77777777" w:rsidR="00723E7A" w:rsidRDefault="00723E7A" w:rsidP="00E00323">
      <w:pPr>
        <w:spacing w:after="0" w:line="240" w:lineRule="auto"/>
      </w:pPr>
      <w:r>
        <w:separator/>
      </w:r>
    </w:p>
  </w:endnote>
  <w:endnote w:type="continuationSeparator" w:id="0">
    <w:p w14:paraId="59BD7914" w14:textId="77777777" w:rsidR="00723E7A" w:rsidRDefault="00723E7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D92E" w14:textId="77777777" w:rsidR="00723E7A" w:rsidRDefault="00723E7A" w:rsidP="00E00323">
      <w:pPr>
        <w:spacing w:after="0" w:line="240" w:lineRule="auto"/>
      </w:pPr>
      <w:r>
        <w:separator/>
      </w:r>
    </w:p>
  </w:footnote>
  <w:footnote w:type="continuationSeparator" w:id="0">
    <w:p w14:paraId="0A2D06D9" w14:textId="77777777" w:rsidR="00723E7A" w:rsidRDefault="00723E7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AD27BDA" w:rsidR="00154BA3" w:rsidRPr="00F93FD6" w:rsidRDefault="00F93FD6" w:rsidP="00A4610E">
    <w:pPr>
      <w:pStyle w:val="Encabezado"/>
      <w:spacing w:after="0" w:line="240" w:lineRule="auto"/>
      <w:jc w:val="center"/>
      <w:rPr>
        <w:rFonts w:asciiTheme="majorHAnsi" w:hAnsiTheme="majorHAnsi" w:cstheme="majorHAnsi"/>
        <w:sz w:val="28"/>
        <w:szCs w:val="28"/>
      </w:rPr>
    </w:pPr>
    <w:r w:rsidRPr="00F93FD6">
      <w:rPr>
        <w:rFonts w:asciiTheme="majorHAnsi" w:hAnsiTheme="majorHAnsi" w:cstheme="majorHAnsi"/>
        <w:sz w:val="28"/>
        <w:szCs w:val="28"/>
      </w:rPr>
      <w:t>Sistema de Agua Potable y Alcantarillado de León</w:t>
    </w:r>
  </w:p>
  <w:p w14:paraId="36BB24BF" w14:textId="09545278" w:rsidR="00F93FD6" w:rsidRPr="00F93FD6" w:rsidRDefault="00F93FD6" w:rsidP="00F93FD6">
    <w:pPr>
      <w:pStyle w:val="Encabezado"/>
      <w:spacing w:after="0" w:line="240" w:lineRule="auto"/>
      <w:jc w:val="center"/>
      <w:rPr>
        <w:rFonts w:asciiTheme="majorHAnsi" w:hAnsiTheme="majorHAnsi" w:cstheme="majorHAnsi"/>
        <w:sz w:val="24"/>
        <w:szCs w:val="24"/>
      </w:rPr>
    </w:pPr>
    <w:r w:rsidRPr="00F93FD6">
      <w:rPr>
        <w:rFonts w:asciiTheme="majorHAnsi" w:hAnsiTheme="majorHAnsi" w:cstheme="majorHAnsi"/>
        <w:sz w:val="24"/>
        <w:szCs w:val="24"/>
      </w:rPr>
      <w:t>Correspondientes al 3</w:t>
    </w:r>
    <w:r w:rsidR="00F2519A">
      <w:rPr>
        <w:rFonts w:asciiTheme="majorHAnsi" w:hAnsiTheme="majorHAnsi" w:cstheme="majorHAnsi"/>
        <w:sz w:val="24"/>
        <w:szCs w:val="24"/>
      </w:rPr>
      <w:t>1</w:t>
    </w:r>
    <w:r w:rsidRPr="00F93FD6">
      <w:rPr>
        <w:rFonts w:asciiTheme="majorHAnsi" w:hAnsiTheme="majorHAnsi" w:cstheme="majorHAnsi"/>
        <w:sz w:val="24"/>
        <w:szCs w:val="24"/>
      </w:rPr>
      <w:t xml:space="preserve"> de </w:t>
    </w:r>
    <w:r w:rsidR="00F2519A">
      <w:rPr>
        <w:rFonts w:asciiTheme="majorHAnsi" w:hAnsiTheme="majorHAnsi" w:cstheme="majorHAnsi"/>
        <w:sz w:val="24"/>
        <w:szCs w:val="24"/>
      </w:rPr>
      <w:t>diciem</w:t>
    </w:r>
    <w:r w:rsidR="00C64487">
      <w:rPr>
        <w:rFonts w:asciiTheme="majorHAnsi" w:hAnsiTheme="majorHAnsi" w:cstheme="majorHAnsi"/>
        <w:sz w:val="24"/>
        <w:szCs w:val="24"/>
      </w:rPr>
      <w:t>bre</w:t>
    </w:r>
    <w:r w:rsidRPr="00F93FD6">
      <w:rPr>
        <w:rFonts w:asciiTheme="majorHAnsi" w:hAnsiTheme="majorHAnsi" w:cstheme="majorHAnsi"/>
        <w:sz w:val="24"/>
        <w:szCs w:val="24"/>
      </w:rPr>
      <w:t xml:space="preserve"> de 202</w:t>
    </w:r>
    <w:r w:rsidR="00A046B3">
      <w:rPr>
        <w:rFonts w:asciiTheme="majorHAnsi" w:hAnsiTheme="majorHAnsi" w:cstheme="majorHAnsi"/>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5B0"/>
    <w:multiLevelType w:val="hybridMultilevel"/>
    <w:tmpl w:val="68AE5F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4876283">
    <w:abstractNumId w:val="1"/>
  </w:num>
  <w:num w:numId="2" w16cid:durableId="150975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64A4"/>
    <w:rsid w:val="00084EAE"/>
    <w:rsid w:val="00091CE6"/>
    <w:rsid w:val="000B7810"/>
    <w:rsid w:val="000C3365"/>
    <w:rsid w:val="00102089"/>
    <w:rsid w:val="0012405A"/>
    <w:rsid w:val="00154BA3"/>
    <w:rsid w:val="001973A2"/>
    <w:rsid w:val="001C75F2"/>
    <w:rsid w:val="001D2063"/>
    <w:rsid w:val="001D43E9"/>
    <w:rsid w:val="002122DF"/>
    <w:rsid w:val="00232175"/>
    <w:rsid w:val="003453CA"/>
    <w:rsid w:val="00435A87"/>
    <w:rsid w:val="00471E05"/>
    <w:rsid w:val="004A58C8"/>
    <w:rsid w:val="004C17DA"/>
    <w:rsid w:val="004F234D"/>
    <w:rsid w:val="0054701E"/>
    <w:rsid w:val="005B5531"/>
    <w:rsid w:val="005D3E43"/>
    <w:rsid w:val="005E231E"/>
    <w:rsid w:val="00657009"/>
    <w:rsid w:val="00681C79"/>
    <w:rsid w:val="00723E7A"/>
    <w:rsid w:val="007610BC"/>
    <w:rsid w:val="007714AB"/>
    <w:rsid w:val="007719D5"/>
    <w:rsid w:val="007D1E76"/>
    <w:rsid w:val="007D4484"/>
    <w:rsid w:val="0086459F"/>
    <w:rsid w:val="008C3BB8"/>
    <w:rsid w:val="008D7A72"/>
    <w:rsid w:val="008E076C"/>
    <w:rsid w:val="0092765C"/>
    <w:rsid w:val="009F506C"/>
    <w:rsid w:val="00A046B3"/>
    <w:rsid w:val="00A4610E"/>
    <w:rsid w:val="00A730E0"/>
    <w:rsid w:val="00AA41E5"/>
    <w:rsid w:val="00AB722B"/>
    <w:rsid w:val="00AE1F6A"/>
    <w:rsid w:val="00BC018A"/>
    <w:rsid w:val="00C64487"/>
    <w:rsid w:val="00C97E1E"/>
    <w:rsid w:val="00CB41C4"/>
    <w:rsid w:val="00CF1316"/>
    <w:rsid w:val="00D13C44"/>
    <w:rsid w:val="00D40FC2"/>
    <w:rsid w:val="00D5018E"/>
    <w:rsid w:val="00D975B1"/>
    <w:rsid w:val="00E00323"/>
    <w:rsid w:val="00E74967"/>
    <w:rsid w:val="00E7559F"/>
    <w:rsid w:val="00EA37F5"/>
    <w:rsid w:val="00EA7915"/>
    <w:rsid w:val="00EE09AC"/>
    <w:rsid w:val="00F2519A"/>
    <w:rsid w:val="00F46719"/>
    <w:rsid w:val="00F54F6F"/>
    <w:rsid w:val="00F6102D"/>
    <w:rsid w:val="00F65A92"/>
    <w:rsid w:val="00F7376E"/>
    <w:rsid w:val="00F93FD6"/>
    <w:rsid w:val="00FF6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concuadrcula1clara">
    <w:name w:val="Grid Table 1 Light"/>
    <w:basedOn w:val="Tablanormal"/>
    <w:uiPriority w:val="46"/>
    <w:rsid w:val="001020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9F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3" ma:contentTypeDescription="Crear nuevo documento." ma:contentTypeScope="" ma:versionID="5f91f6f58a24d9301a5094c4da4ec4e6">
  <xsd:schema xmlns:xsd="http://www.w3.org/2001/XMLSchema" xmlns:xs="http://www.w3.org/2001/XMLSchema" xmlns:p="http://schemas.microsoft.com/office/2006/metadata/properties" xmlns:ns2="0c865bf4-0f22-4e4d-b041-7b0c1657e5a8" targetNamespace="http://schemas.microsoft.com/office/2006/metadata/properties" ma:root="true" ma:fieldsID="d4aa4895e3b4885915729b3d349d15ff"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C0D005C8-EB2B-4D08-BC93-878F8F914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3604</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Antonio Hernández</cp:lastModifiedBy>
  <cp:revision>2</cp:revision>
  <dcterms:created xsi:type="dcterms:W3CDTF">2024-01-26T00:39:00Z</dcterms:created>
  <dcterms:modified xsi:type="dcterms:W3CDTF">2024-01-26T00:39:00Z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